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30011" w14:textId="481F1924" w:rsidR="00084C6D" w:rsidRPr="00D2608D" w:rsidRDefault="00604A80" w:rsidP="00D2608D">
      <w:pPr>
        <w:shd w:val="clear" w:color="auto" w:fill="D9D9D9" w:themeFill="background1" w:themeFillShade="D9"/>
        <w:spacing w:line="240" w:lineRule="auto"/>
        <w:rPr>
          <w:bCs/>
          <w:i/>
          <w:iCs/>
          <w:sz w:val="22"/>
          <w:szCs w:val="20"/>
          <w:lang w:val="pl-PL"/>
        </w:rPr>
      </w:pPr>
      <w:r w:rsidRPr="00D2608D">
        <w:rPr>
          <w:bCs/>
          <w:i/>
          <w:iCs/>
          <w:sz w:val="22"/>
          <w:szCs w:val="20"/>
          <w:lang w:val="pl-PL"/>
        </w:rPr>
        <w:t>Artykuł powinien być przygotowany zgodnie z wy</w:t>
      </w:r>
      <w:r w:rsidR="001367DA" w:rsidRPr="00D2608D">
        <w:rPr>
          <w:bCs/>
          <w:i/>
          <w:iCs/>
          <w:sz w:val="22"/>
          <w:szCs w:val="20"/>
          <w:lang w:val="pl-PL"/>
        </w:rPr>
        <w:t xml:space="preserve">tycznymi </w:t>
      </w:r>
      <w:r w:rsidR="002A562B" w:rsidRPr="00D2608D">
        <w:rPr>
          <w:bCs/>
          <w:i/>
          <w:iCs/>
          <w:sz w:val="22"/>
          <w:szCs w:val="20"/>
          <w:lang w:val="pl-PL"/>
        </w:rPr>
        <w:t>redakcji GWiTS</w:t>
      </w:r>
      <w:r w:rsidR="001367DA" w:rsidRPr="00D2608D">
        <w:rPr>
          <w:bCs/>
          <w:i/>
          <w:iCs/>
          <w:sz w:val="22"/>
          <w:szCs w:val="20"/>
          <w:lang w:val="pl-PL"/>
        </w:rPr>
        <w:t>.</w:t>
      </w:r>
      <w:r w:rsidR="00004E2A" w:rsidRPr="00D2608D">
        <w:rPr>
          <w:bCs/>
          <w:i/>
          <w:iCs/>
          <w:sz w:val="22"/>
          <w:szCs w:val="20"/>
          <w:lang w:val="pl-PL"/>
        </w:rPr>
        <w:t xml:space="preserve"> </w:t>
      </w:r>
      <w:r w:rsidR="001367DA" w:rsidRPr="00D2608D">
        <w:rPr>
          <w:bCs/>
          <w:i/>
          <w:iCs/>
          <w:sz w:val="22"/>
          <w:szCs w:val="20"/>
          <w:lang w:val="pl-PL"/>
        </w:rPr>
        <w:t xml:space="preserve">Tekst </w:t>
      </w:r>
      <w:r w:rsidRPr="00D2608D">
        <w:rPr>
          <w:bCs/>
          <w:i/>
          <w:iCs/>
          <w:sz w:val="22"/>
          <w:szCs w:val="20"/>
          <w:lang w:val="pl-PL"/>
        </w:rPr>
        <w:t xml:space="preserve">w formacie MS Word lub zgodnym, czcionka 12 punktów </w:t>
      </w:r>
      <w:r w:rsidR="00410D68" w:rsidRPr="00D2608D">
        <w:rPr>
          <w:bCs/>
          <w:i/>
          <w:iCs/>
          <w:sz w:val="22"/>
          <w:szCs w:val="20"/>
          <w:lang w:val="pl-PL"/>
        </w:rPr>
        <w:t>Times New Roman, Aptos</w:t>
      </w:r>
      <w:r w:rsidR="008F6692" w:rsidRPr="00D2608D">
        <w:rPr>
          <w:bCs/>
          <w:i/>
          <w:iCs/>
          <w:sz w:val="22"/>
          <w:szCs w:val="20"/>
          <w:lang w:val="pl-PL"/>
        </w:rPr>
        <w:t>, Calibri</w:t>
      </w:r>
      <w:r w:rsidR="00410D68" w:rsidRPr="00D2608D">
        <w:rPr>
          <w:bCs/>
          <w:i/>
          <w:iCs/>
          <w:sz w:val="22"/>
          <w:szCs w:val="20"/>
          <w:lang w:val="pl-PL"/>
        </w:rPr>
        <w:t xml:space="preserve"> </w:t>
      </w:r>
      <w:r w:rsidRPr="00D2608D">
        <w:rPr>
          <w:bCs/>
          <w:i/>
          <w:iCs/>
          <w:sz w:val="22"/>
          <w:szCs w:val="20"/>
          <w:lang w:val="pl-PL"/>
        </w:rPr>
        <w:t>lub podobn</w:t>
      </w:r>
      <w:r w:rsidR="00901D4D" w:rsidRPr="00D2608D">
        <w:rPr>
          <w:bCs/>
          <w:i/>
          <w:iCs/>
          <w:sz w:val="22"/>
          <w:szCs w:val="20"/>
          <w:lang w:val="pl-PL"/>
        </w:rPr>
        <w:t>a</w:t>
      </w:r>
      <w:r w:rsidRPr="00D2608D">
        <w:rPr>
          <w:bCs/>
          <w:i/>
          <w:iCs/>
          <w:sz w:val="22"/>
          <w:szCs w:val="20"/>
          <w:lang w:val="pl-PL"/>
        </w:rPr>
        <w:t>, 1,5 odstępu między wierszami</w:t>
      </w:r>
      <w:r w:rsidR="000014AD" w:rsidRPr="00D2608D">
        <w:rPr>
          <w:bCs/>
          <w:i/>
          <w:iCs/>
          <w:sz w:val="22"/>
          <w:szCs w:val="20"/>
          <w:lang w:val="pl-PL"/>
        </w:rPr>
        <w:t>, nie dłuższy niż 15 stron w Wordzie.</w:t>
      </w:r>
    </w:p>
    <w:p w14:paraId="61DF406A" w14:textId="77777777" w:rsidR="009B15E6" w:rsidRPr="00D2608D" w:rsidRDefault="009B15E6" w:rsidP="00D2608D">
      <w:pPr>
        <w:spacing w:line="240" w:lineRule="auto"/>
        <w:rPr>
          <w:bCs/>
          <w:i/>
          <w:iCs/>
          <w:sz w:val="22"/>
          <w:szCs w:val="20"/>
          <w:lang w:val="pl-PL"/>
        </w:rPr>
      </w:pPr>
    </w:p>
    <w:p w14:paraId="6B8EF1A1" w14:textId="24A66F78" w:rsidR="00336053" w:rsidRPr="00D2608D" w:rsidRDefault="00004E2A" w:rsidP="00D2608D">
      <w:pPr>
        <w:shd w:val="clear" w:color="auto" w:fill="D9D9D9" w:themeFill="background1" w:themeFillShade="D9"/>
        <w:spacing w:line="240" w:lineRule="auto"/>
        <w:rPr>
          <w:bCs/>
          <w:i/>
          <w:iCs/>
          <w:sz w:val="22"/>
          <w:szCs w:val="20"/>
          <w:lang w:val="pl-PL"/>
        </w:rPr>
      </w:pPr>
      <w:r w:rsidRPr="00D2608D">
        <w:rPr>
          <w:bCs/>
          <w:i/>
          <w:iCs/>
          <w:sz w:val="22"/>
          <w:szCs w:val="20"/>
          <w:lang w:val="pl-PL"/>
        </w:rPr>
        <w:t>Zalecamy</w:t>
      </w:r>
      <w:r w:rsidR="00084C6D" w:rsidRPr="00D2608D">
        <w:rPr>
          <w:bCs/>
          <w:i/>
          <w:iCs/>
          <w:sz w:val="22"/>
          <w:szCs w:val="20"/>
          <w:lang w:val="pl-PL"/>
        </w:rPr>
        <w:t xml:space="preserve"> stosować osadzone w tym pliku </w:t>
      </w:r>
      <w:r w:rsidR="00604A80" w:rsidRPr="00D2608D">
        <w:rPr>
          <w:bCs/>
          <w:i/>
          <w:iCs/>
          <w:sz w:val="22"/>
          <w:szCs w:val="20"/>
          <w:lang w:val="pl-PL"/>
        </w:rPr>
        <w:t>styl</w:t>
      </w:r>
      <w:r w:rsidR="00084C6D" w:rsidRPr="00D2608D">
        <w:rPr>
          <w:bCs/>
          <w:i/>
          <w:iCs/>
          <w:sz w:val="22"/>
          <w:szCs w:val="20"/>
          <w:lang w:val="pl-PL"/>
        </w:rPr>
        <w:t>e formatowania</w:t>
      </w:r>
      <w:r w:rsidR="00604A80" w:rsidRPr="00D2608D">
        <w:rPr>
          <w:bCs/>
          <w:i/>
          <w:iCs/>
          <w:sz w:val="22"/>
          <w:szCs w:val="20"/>
          <w:lang w:val="pl-PL"/>
        </w:rPr>
        <w:t xml:space="preserve"> tekstu</w:t>
      </w:r>
      <w:r w:rsidR="00084C6D" w:rsidRPr="00D2608D">
        <w:rPr>
          <w:bCs/>
          <w:i/>
          <w:iCs/>
          <w:sz w:val="22"/>
          <w:szCs w:val="20"/>
          <w:lang w:val="pl-PL"/>
        </w:rPr>
        <w:t>.</w:t>
      </w:r>
      <w:r w:rsidR="009B15E6" w:rsidRPr="00D2608D">
        <w:rPr>
          <w:bCs/>
          <w:i/>
          <w:iCs/>
          <w:sz w:val="22"/>
          <w:szCs w:val="20"/>
          <w:lang w:val="pl-PL"/>
        </w:rPr>
        <w:t xml:space="preserve"> </w:t>
      </w:r>
      <w:r w:rsidR="00136CD3" w:rsidRPr="00D2608D">
        <w:rPr>
          <w:bCs/>
          <w:i/>
          <w:iCs/>
          <w:sz w:val="22"/>
          <w:szCs w:val="20"/>
          <w:lang w:val="pl-PL"/>
        </w:rPr>
        <w:t>Nie należy stosować</w:t>
      </w:r>
      <w:r w:rsidR="00435285" w:rsidRPr="00D2608D">
        <w:rPr>
          <w:bCs/>
          <w:i/>
          <w:iCs/>
          <w:sz w:val="22"/>
          <w:szCs w:val="20"/>
          <w:lang w:val="pl-PL"/>
        </w:rPr>
        <w:t xml:space="preserve"> </w:t>
      </w:r>
      <w:r w:rsidR="004C3B2D" w:rsidRPr="00D2608D">
        <w:rPr>
          <w:bCs/>
          <w:i/>
          <w:iCs/>
          <w:sz w:val="22"/>
          <w:szCs w:val="20"/>
          <w:lang w:val="pl-PL"/>
        </w:rPr>
        <w:t xml:space="preserve">wcięć, odstępów, </w:t>
      </w:r>
      <w:r w:rsidR="00435285" w:rsidRPr="00D2608D">
        <w:rPr>
          <w:bCs/>
          <w:i/>
          <w:iCs/>
          <w:sz w:val="22"/>
          <w:szCs w:val="20"/>
          <w:lang w:val="pl-PL"/>
        </w:rPr>
        <w:t>podziału wyrazów,</w:t>
      </w:r>
      <w:r w:rsidR="00136CD3" w:rsidRPr="00D2608D">
        <w:rPr>
          <w:bCs/>
          <w:i/>
          <w:iCs/>
          <w:sz w:val="22"/>
          <w:szCs w:val="20"/>
          <w:lang w:val="pl-PL"/>
        </w:rPr>
        <w:t xml:space="preserve"> ręcznego podziału wiersza</w:t>
      </w:r>
      <w:r w:rsidR="00435285" w:rsidRPr="00D2608D">
        <w:rPr>
          <w:bCs/>
          <w:i/>
          <w:iCs/>
          <w:sz w:val="22"/>
          <w:szCs w:val="20"/>
          <w:lang w:val="pl-PL"/>
        </w:rPr>
        <w:t>, ręcznego podziału</w:t>
      </w:r>
      <w:r w:rsidR="00136CD3" w:rsidRPr="00D2608D">
        <w:rPr>
          <w:bCs/>
          <w:i/>
          <w:iCs/>
          <w:sz w:val="22"/>
          <w:szCs w:val="20"/>
          <w:lang w:val="pl-PL"/>
        </w:rPr>
        <w:t xml:space="preserve"> strony</w:t>
      </w:r>
      <w:r w:rsidR="004C3B2D" w:rsidRPr="00D2608D">
        <w:rPr>
          <w:bCs/>
          <w:i/>
          <w:iCs/>
          <w:sz w:val="22"/>
          <w:szCs w:val="20"/>
          <w:lang w:val="pl-PL"/>
        </w:rPr>
        <w:t xml:space="preserve"> itd.</w:t>
      </w:r>
      <w:r w:rsidR="00336053" w:rsidRPr="00D2608D">
        <w:rPr>
          <w:bCs/>
          <w:i/>
          <w:iCs/>
          <w:sz w:val="22"/>
          <w:szCs w:val="20"/>
          <w:lang w:val="pl-PL"/>
        </w:rPr>
        <w:t xml:space="preserve"> </w:t>
      </w:r>
      <w:r w:rsidR="002B2207" w:rsidRPr="00D2608D">
        <w:rPr>
          <w:bCs/>
          <w:i/>
          <w:iCs/>
          <w:sz w:val="22"/>
          <w:szCs w:val="20"/>
          <w:lang w:val="pl-PL"/>
        </w:rPr>
        <w:t>–</w:t>
      </w:r>
      <w:r w:rsidR="00336053" w:rsidRPr="00D2608D">
        <w:rPr>
          <w:bCs/>
          <w:i/>
          <w:iCs/>
          <w:sz w:val="22"/>
          <w:szCs w:val="20"/>
          <w:lang w:val="pl-PL"/>
        </w:rPr>
        <w:t xml:space="preserve"> r</w:t>
      </w:r>
      <w:r w:rsidR="00E90393" w:rsidRPr="00D2608D">
        <w:rPr>
          <w:bCs/>
          <w:i/>
          <w:iCs/>
          <w:sz w:val="22"/>
          <w:szCs w:val="20"/>
          <w:lang w:val="pl-PL"/>
        </w:rPr>
        <w:t xml:space="preserve">edakcja </w:t>
      </w:r>
      <w:r w:rsidR="00E26BC7" w:rsidRPr="00D2608D">
        <w:rPr>
          <w:bCs/>
          <w:i/>
          <w:iCs/>
          <w:sz w:val="22"/>
          <w:szCs w:val="20"/>
          <w:lang w:val="pl-PL"/>
        </w:rPr>
        <w:t xml:space="preserve">GWiTS </w:t>
      </w:r>
      <w:r w:rsidR="00E90393" w:rsidRPr="00D2608D">
        <w:rPr>
          <w:bCs/>
          <w:i/>
          <w:iCs/>
          <w:sz w:val="22"/>
          <w:szCs w:val="20"/>
          <w:lang w:val="pl-PL"/>
        </w:rPr>
        <w:t>zajm</w:t>
      </w:r>
      <w:r w:rsidR="005B5CB0" w:rsidRPr="00D2608D">
        <w:rPr>
          <w:bCs/>
          <w:i/>
          <w:iCs/>
          <w:sz w:val="22"/>
          <w:szCs w:val="20"/>
          <w:lang w:val="pl-PL"/>
        </w:rPr>
        <w:t>ie</w:t>
      </w:r>
      <w:r w:rsidR="00E90393" w:rsidRPr="00D2608D">
        <w:rPr>
          <w:bCs/>
          <w:i/>
          <w:iCs/>
          <w:sz w:val="22"/>
          <w:szCs w:val="20"/>
          <w:lang w:val="pl-PL"/>
        </w:rPr>
        <w:t xml:space="preserve"> się łamaniem tekstu i </w:t>
      </w:r>
      <w:r w:rsidR="00D853C7" w:rsidRPr="00D2608D">
        <w:rPr>
          <w:bCs/>
          <w:i/>
          <w:iCs/>
          <w:sz w:val="22"/>
          <w:szCs w:val="20"/>
          <w:lang w:val="pl-PL"/>
        </w:rPr>
        <w:t>przygotowaniem</w:t>
      </w:r>
      <w:r w:rsidR="00E90393" w:rsidRPr="00D2608D">
        <w:rPr>
          <w:bCs/>
          <w:i/>
          <w:iCs/>
          <w:sz w:val="22"/>
          <w:szCs w:val="20"/>
          <w:lang w:val="pl-PL"/>
        </w:rPr>
        <w:t xml:space="preserve"> go do druku.</w:t>
      </w:r>
      <w:r w:rsidR="0082027D" w:rsidRPr="00D2608D">
        <w:rPr>
          <w:bCs/>
          <w:i/>
          <w:iCs/>
          <w:sz w:val="22"/>
          <w:szCs w:val="20"/>
          <w:lang w:val="pl-PL"/>
        </w:rPr>
        <w:t xml:space="preserve"> </w:t>
      </w:r>
    </w:p>
    <w:p w14:paraId="4380DD26" w14:textId="77777777" w:rsidR="00336053" w:rsidRPr="00D2608D" w:rsidRDefault="00336053" w:rsidP="00D2608D">
      <w:pPr>
        <w:spacing w:line="240" w:lineRule="auto"/>
        <w:rPr>
          <w:bCs/>
          <w:i/>
          <w:iCs/>
          <w:sz w:val="22"/>
          <w:szCs w:val="20"/>
          <w:lang w:val="pl-PL"/>
        </w:rPr>
      </w:pPr>
    </w:p>
    <w:p w14:paraId="40582F32" w14:textId="65D8A6B8" w:rsidR="00E90393" w:rsidRPr="00D2608D" w:rsidRDefault="0082027D" w:rsidP="00D2608D">
      <w:pPr>
        <w:shd w:val="clear" w:color="auto" w:fill="D9D9D9" w:themeFill="background1" w:themeFillShade="D9"/>
        <w:spacing w:line="240" w:lineRule="auto"/>
        <w:rPr>
          <w:bCs/>
          <w:i/>
          <w:iCs/>
          <w:sz w:val="22"/>
          <w:szCs w:val="20"/>
          <w:lang w:val="pl-PL"/>
        </w:rPr>
      </w:pPr>
      <w:r w:rsidRPr="00D2608D">
        <w:rPr>
          <w:bCs/>
          <w:i/>
          <w:iCs/>
          <w:sz w:val="22"/>
          <w:szCs w:val="20"/>
          <w:lang w:val="pl-PL"/>
        </w:rPr>
        <w:t>Redakcja zastrzega sobie prawo do korekty, skalowania lub uproszczenia materiałów graficznych na potrzeby edytorskie.</w:t>
      </w:r>
    </w:p>
    <w:p w14:paraId="52934BAF" w14:textId="77777777" w:rsidR="00D06938" w:rsidRPr="00D2608D" w:rsidRDefault="00D06938" w:rsidP="00D2608D">
      <w:pPr>
        <w:spacing w:line="240" w:lineRule="auto"/>
        <w:rPr>
          <w:bCs/>
          <w:i/>
          <w:iCs/>
          <w:sz w:val="22"/>
          <w:szCs w:val="20"/>
          <w:lang w:val="pl-PL"/>
        </w:rPr>
      </w:pPr>
    </w:p>
    <w:p w14:paraId="6F850EAE" w14:textId="30153E12" w:rsidR="00396EF7" w:rsidRPr="00D2608D" w:rsidRDefault="00396EF7" w:rsidP="00D2608D">
      <w:pPr>
        <w:pBdr>
          <w:bottom w:val="single" w:sz="4" w:space="1" w:color="auto"/>
        </w:pBdr>
        <w:spacing w:line="240" w:lineRule="auto"/>
        <w:rPr>
          <w:b/>
          <w:i/>
          <w:iCs/>
          <w:sz w:val="22"/>
          <w:szCs w:val="20"/>
          <w:lang w:val="pl-PL"/>
        </w:rPr>
      </w:pPr>
      <w:r w:rsidRPr="00D2608D">
        <w:rPr>
          <w:b/>
          <w:i/>
          <w:iCs/>
          <w:sz w:val="22"/>
          <w:szCs w:val="20"/>
          <w:lang w:val="pl-PL"/>
        </w:rPr>
        <w:t>Informacje powyżej skasuj w pliku z artykułem</w:t>
      </w:r>
      <w:r w:rsidR="008F6692" w:rsidRPr="00D2608D">
        <w:rPr>
          <w:b/>
          <w:i/>
          <w:iCs/>
          <w:sz w:val="22"/>
          <w:szCs w:val="20"/>
          <w:lang w:val="pl-PL"/>
        </w:rPr>
        <w:t>.</w:t>
      </w:r>
    </w:p>
    <w:p w14:paraId="02464547" w14:textId="77777777" w:rsidR="00396EF7" w:rsidRPr="00396EF7" w:rsidRDefault="00396EF7" w:rsidP="00710861">
      <w:pPr>
        <w:rPr>
          <w:bCs/>
          <w:lang w:val="pl-PL"/>
        </w:rPr>
      </w:pPr>
    </w:p>
    <w:p w14:paraId="584376BB" w14:textId="4F2B3CE1" w:rsidR="00396EF7" w:rsidRPr="007527CF" w:rsidRDefault="009B6817" w:rsidP="00752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line="240" w:lineRule="auto"/>
        <w:rPr>
          <w:sz w:val="20"/>
          <w:szCs w:val="18"/>
          <w:lang w:val="pl-PL"/>
        </w:rPr>
      </w:pPr>
      <w:r w:rsidRPr="007527CF">
        <w:rPr>
          <w:b/>
          <w:bCs/>
          <w:sz w:val="20"/>
          <w:szCs w:val="18"/>
          <w:lang w:val="pl-PL"/>
        </w:rPr>
        <w:t>Metryczka artykułu</w:t>
      </w:r>
      <w:r w:rsidR="00161718">
        <w:rPr>
          <w:b/>
          <w:bCs/>
          <w:sz w:val="20"/>
          <w:szCs w:val="18"/>
          <w:lang w:val="pl-PL"/>
        </w:rPr>
        <w:t xml:space="preserve"> (</w:t>
      </w:r>
      <w:r w:rsidRPr="007527CF">
        <w:rPr>
          <w:b/>
          <w:bCs/>
          <w:sz w:val="20"/>
          <w:szCs w:val="18"/>
          <w:lang w:val="pl-PL"/>
        </w:rPr>
        <w:t>w</w:t>
      </w:r>
      <w:r w:rsidR="00396EF7" w:rsidRPr="007527CF">
        <w:rPr>
          <w:b/>
          <w:bCs/>
          <w:sz w:val="20"/>
          <w:szCs w:val="18"/>
          <w:lang w:val="pl-PL"/>
        </w:rPr>
        <w:t xml:space="preserve">ypełnia </w:t>
      </w:r>
      <w:r w:rsidR="00161718">
        <w:rPr>
          <w:b/>
          <w:bCs/>
          <w:sz w:val="20"/>
          <w:szCs w:val="18"/>
          <w:lang w:val="pl-PL"/>
        </w:rPr>
        <w:t>r</w:t>
      </w:r>
      <w:r w:rsidR="00396EF7" w:rsidRPr="007527CF">
        <w:rPr>
          <w:b/>
          <w:bCs/>
          <w:sz w:val="20"/>
          <w:szCs w:val="18"/>
          <w:lang w:val="pl-PL"/>
        </w:rPr>
        <w:t>edakcja</w:t>
      </w:r>
      <w:r w:rsidR="00161718">
        <w:rPr>
          <w:b/>
          <w:bCs/>
          <w:sz w:val="20"/>
          <w:szCs w:val="18"/>
          <w:lang w:val="pl-PL"/>
        </w:rPr>
        <w:t>)</w:t>
      </w:r>
      <w:r w:rsidR="00396EF7" w:rsidRPr="007527CF">
        <w:rPr>
          <w:b/>
          <w:bCs/>
          <w:sz w:val="20"/>
          <w:szCs w:val="18"/>
          <w:lang w:val="pl-PL"/>
        </w:rPr>
        <w:t>:</w:t>
      </w:r>
      <w:r w:rsidR="00396EF7" w:rsidRPr="007527CF">
        <w:rPr>
          <w:sz w:val="20"/>
          <w:szCs w:val="18"/>
          <w:lang w:val="pl-PL"/>
        </w:rPr>
        <w:t xml:space="preserve"> Artykuł / article: Nadesłany / Received: </w:t>
      </w:r>
      <w:r w:rsidRPr="007527CF">
        <w:rPr>
          <w:sz w:val="20"/>
          <w:szCs w:val="18"/>
          <w:lang w:val="pl-PL"/>
        </w:rPr>
        <w:t>DD</w:t>
      </w:r>
      <w:r w:rsidR="00396EF7" w:rsidRPr="007527CF">
        <w:rPr>
          <w:sz w:val="20"/>
          <w:szCs w:val="18"/>
          <w:lang w:val="pl-PL"/>
        </w:rPr>
        <w:t>.</w:t>
      </w:r>
      <w:r w:rsidRPr="007527CF">
        <w:rPr>
          <w:sz w:val="20"/>
          <w:szCs w:val="18"/>
          <w:lang w:val="pl-PL"/>
        </w:rPr>
        <w:t>MM</w:t>
      </w:r>
      <w:r w:rsidR="00396EF7" w:rsidRPr="007527CF">
        <w:rPr>
          <w:sz w:val="20"/>
          <w:szCs w:val="18"/>
          <w:lang w:val="pl-PL"/>
        </w:rPr>
        <w:t>.</w:t>
      </w:r>
      <w:r w:rsidRPr="007527CF">
        <w:rPr>
          <w:sz w:val="20"/>
          <w:szCs w:val="18"/>
          <w:lang w:val="pl-PL"/>
        </w:rPr>
        <w:t>RRR</w:t>
      </w:r>
      <w:r w:rsidR="00396EF7" w:rsidRPr="007527CF">
        <w:rPr>
          <w:sz w:val="20"/>
          <w:szCs w:val="18"/>
          <w:lang w:val="pl-PL"/>
        </w:rPr>
        <w:t xml:space="preserve">; Zrecenzowany / Revised: </w:t>
      </w:r>
      <w:r w:rsidR="00AE4D3A" w:rsidRPr="007527CF">
        <w:rPr>
          <w:sz w:val="20"/>
          <w:szCs w:val="18"/>
          <w:lang w:val="pl-PL"/>
        </w:rPr>
        <w:t>DD.MM.RRR</w:t>
      </w:r>
      <w:r w:rsidR="00396EF7" w:rsidRPr="007527CF">
        <w:rPr>
          <w:sz w:val="20"/>
          <w:szCs w:val="18"/>
          <w:lang w:val="pl-PL"/>
        </w:rPr>
        <w:t xml:space="preserve">; Zaakceptowany / Accepted: </w:t>
      </w:r>
      <w:r w:rsidR="00AE4D3A" w:rsidRPr="007527CF">
        <w:rPr>
          <w:sz w:val="20"/>
          <w:szCs w:val="18"/>
          <w:lang w:val="pl-PL"/>
        </w:rPr>
        <w:t>DD.MM.RRR</w:t>
      </w:r>
      <w:r w:rsidR="00396EF7" w:rsidRPr="007527CF">
        <w:rPr>
          <w:sz w:val="20"/>
          <w:szCs w:val="18"/>
          <w:lang w:val="pl-PL"/>
        </w:rPr>
        <w:t xml:space="preserve">; Opublikowany / Published: </w:t>
      </w:r>
      <w:r w:rsidR="00AE4D3A" w:rsidRPr="007527CF">
        <w:rPr>
          <w:sz w:val="20"/>
          <w:szCs w:val="18"/>
          <w:lang w:val="pl-PL"/>
        </w:rPr>
        <w:t>DD.MM.RRR</w:t>
      </w:r>
    </w:p>
    <w:p w14:paraId="5F123336" w14:textId="77777777" w:rsidR="00396EF7" w:rsidRDefault="00396EF7" w:rsidP="00710861">
      <w:pPr>
        <w:rPr>
          <w:b/>
          <w:lang w:val="pl-PL"/>
        </w:rPr>
      </w:pPr>
    </w:p>
    <w:p w14:paraId="67E35B46" w14:textId="230359A8" w:rsidR="002771F1" w:rsidRPr="005D74AA" w:rsidRDefault="006C6F52" w:rsidP="00710861">
      <w:pPr>
        <w:rPr>
          <w:lang w:val="en-GB"/>
        </w:rPr>
      </w:pPr>
      <w:r w:rsidRPr="005D74AA">
        <w:rPr>
          <w:b/>
          <w:lang w:val="en-GB"/>
        </w:rPr>
        <w:t>Tytuł artykułu</w:t>
      </w:r>
      <w:r w:rsidR="00496AD3" w:rsidRPr="005D74AA">
        <w:rPr>
          <w:b/>
          <w:lang w:val="en-GB"/>
        </w:rPr>
        <w:t xml:space="preserve"> w języku polskim</w:t>
      </w:r>
    </w:p>
    <w:p w14:paraId="1831770E" w14:textId="3B148ABD" w:rsidR="002771F1" w:rsidRPr="005D74AA" w:rsidRDefault="000A71C1" w:rsidP="00710861">
      <w:pPr>
        <w:rPr>
          <w:lang w:val="en-GB"/>
        </w:rPr>
      </w:pPr>
      <w:r w:rsidRPr="005D74AA">
        <w:rPr>
          <w:b/>
          <w:lang w:val="en-GB"/>
        </w:rPr>
        <w:t>A</w:t>
      </w:r>
      <w:r w:rsidR="006C6F52" w:rsidRPr="005D74AA">
        <w:rPr>
          <w:b/>
          <w:lang w:val="en-GB"/>
        </w:rPr>
        <w:t xml:space="preserve">rticle title </w:t>
      </w:r>
      <w:r w:rsidR="00496AD3" w:rsidRPr="005D74AA">
        <w:rPr>
          <w:b/>
          <w:lang w:val="en-GB"/>
        </w:rPr>
        <w:t>in English</w:t>
      </w:r>
    </w:p>
    <w:p w14:paraId="42765FAA" w14:textId="77777777" w:rsidR="001A0144" w:rsidRPr="005D74AA" w:rsidRDefault="001A0144" w:rsidP="006C6F52">
      <w:pPr>
        <w:rPr>
          <w:lang w:val="en-GB"/>
        </w:rPr>
      </w:pPr>
    </w:p>
    <w:p w14:paraId="397C1091" w14:textId="0A8E0A56" w:rsidR="001F3CCE" w:rsidRPr="001E6AAF" w:rsidRDefault="00423C3D" w:rsidP="006C6F52">
      <w:r w:rsidRPr="001E6AAF">
        <w:t>Jan Kowalski</w:t>
      </w:r>
      <w:r w:rsidR="001F3CCE" w:rsidRPr="001E6AAF">
        <w:rPr>
          <w:vertAlign w:val="superscript"/>
        </w:rPr>
        <w:t>1</w:t>
      </w:r>
      <w:r w:rsidR="001F3CCE" w:rsidRPr="001E6AAF">
        <w:t>*</w:t>
      </w:r>
      <w:r w:rsidR="001E6AAF" w:rsidRPr="001E6AAF">
        <w:t xml:space="preserve"> ORCID</w:t>
      </w:r>
      <w:r w:rsidR="001F3CCE" w:rsidRPr="001E6AAF">
        <w:t xml:space="preserve">, </w:t>
      </w:r>
      <w:r w:rsidRPr="001E6AAF">
        <w:t>Emily Brown</w:t>
      </w:r>
      <w:r w:rsidR="009E4F67" w:rsidRPr="001E6AAF">
        <w:rPr>
          <w:vertAlign w:val="superscript"/>
        </w:rPr>
        <w:t>1</w:t>
      </w:r>
      <w:r w:rsidR="001E6AAF" w:rsidRPr="001E6AAF">
        <w:t xml:space="preserve"> ORCID,</w:t>
      </w:r>
      <w:r w:rsidR="009E4F67" w:rsidRPr="001E6AAF">
        <w:t xml:space="preserve"> </w:t>
      </w:r>
      <w:r w:rsidR="00BD0ED4" w:rsidRPr="001E6AAF">
        <w:t>Anna Schafer</w:t>
      </w:r>
      <w:r w:rsidR="001F3CCE" w:rsidRPr="001E6AAF">
        <w:rPr>
          <w:vertAlign w:val="superscript"/>
        </w:rPr>
        <w:t>2</w:t>
      </w:r>
      <w:r w:rsidR="001E6AAF">
        <w:rPr>
          <w:vertAlign w:val="superscript"/>
        </w:rPr>
        <w:t xml:space="preserve"> </w:t>
      </w:r>
      <w:r w:rsidR="001E6AAF" w:rsidRPr="001E6AAF">
        <w:t>ORCID</w:t>
      </w:r>
    </w:p>
    <w:p w14:paraId="6F6C3CA2" w14:textId="6B685ABE" w:rsidR="00467C4D" w:rsidRDefault="001F3CCE" w:rsidP="006C6F52">
      <w:pPr>
        <w:rPr>
          <w:lang w:val="pl-PL"/>
        </w:rPr>
      </w:pPr>
      <w:r w:rsidRPr="009E4F67">
        <w:rPr>
          <w:vertAlign w:val="superscript"/>
          <w:lang w:val="pl-PL"/>
        </w:rPr>
        <w:t>1</w:t>
      </w:r>
      <w:r w:rsidR="000A71C1" w:rsidRPr="006C6F52">
        <w:rPr>
          <w:lang w:val="pl-PL"/>
        </w:rPr>
        <w:t xml:space="preserve"> </w:t>
      </w:r>
      <w:r w:rsidR="00BD0ED4">
        <w:rPr>
          <w:lang w:val="pl-PL"/>
        </w:rPr>
        <w:t xml:space="preserve">Wydział Inżynierii Środowiska, Politechnika </w:t>
      </w:r>
      <w:r w:rsidR="001E6AAF">
        <w:rPr>
          <w:lang w:val="pl-PL"/>
        </w:rPr>
        <w:t>Krajowa</w:t>
      </w:r>
    </w:p>
    <w:p w14:paraId="37A7A071" w14:textId="05A85D9F" w:rsidR="00467C4D" w:rsidRPr="005D74AA" w:rsidRDefault="00467C4D" w:rsidP="006C6F52">
      <w:pPr>
        <w:rPr>
          <w:lang w:val="pl-PL"/>
        </w:rPr>
      </w:pPr>
      <w:r w:rsidRPr="005D74AA">
        <w:rPr>
          <w:vertAlign w:val="superscript"/>
          <w:lang w:val="pl-PL"/>
        </w:rPr>
        <w:t>2</w:t>
      </w:r>
      <w:r w:rsidRPr="005D74AA">
        <w:rPr>
          <w:lang w:val="pl-PL"/>
        </w:rPr>
        <w:t xml:space="preserve"> </w:t>
      </w:r>
      <w:r w:rsidR="00283D64" w:rsidRPr="005D74AA">
        <w:rPr>
          <w:lang w:val="pl-PL"/>
        </w:rPr>
        <w:t xml:space="preserve">AKW Water Technology, </w:t>
      </w:r>
      <w:r w:rsidR="00EF3E74" w:rsidRPr="005D74AA">
        <w:rPr>
          <w:lang w:val="pl-PL"/>
        </w:rPr>
        <w:t>UK</w:t>
      </w:r>
    </w:p>
    <w:p w14:paraId="3CB119C5" w14:textId="54ECAA75" w:rsidR="002771F1" w:rsidRPr="00283D64" w:rsidRDefault="00467C4D" w:rsidP="006C6F52">
      <w:r w:rsidRPr="00283D64">
        <w:t>*</w:t>
      </w:r>
      <w:r w:rsidR="009E4F67" w:rsidRPr="00283D64">
        <w:t xml:space="preserve">Kontakt / Correspondence: </w:t>
      </w:r>
      <w:r w:rsidR="00EF3E74">
        <w:t>jan.kowalski@pokr.edu.pl</w:t>
      </w:r>
    </w:p>
    <w:p w14:paraId="16915949" w14:textId="77777777" w:rsidR="000A71C1" w:rsidRPr="00283D64" w:rsidRDefault="000A71C1" w:rsidP="00710861">
      <w:pPr>
        <w:rPr>
          <w:b/>
        </w:rPr>
      </w:pPr>
    </w:p>
    <w:p w14:paraId="7136718E" w14:textId="02742056" w:rsidR="002771F1" w:rsidRPr="006C6F52" w:rsidRDefault="000A71C1" w:rsidP="00710861">
      <w:pPr>
        <w:rPr>
          <w:lang w:val="pl-PL"/>
        </w:rPr>
      </w:pPr>
      <w:r w:rsidRPr="006C6F52">
        <w:rPr>
          <w:b/>
          <w:lang w:val="pl-PL"/>
        </w:rPr>
        <w:t>Streszczenie</w:t>
      </w:r>
    </w:p>
    <w:p w14:paraId="75C3BD4C" w14:textId="36986368" w:rsidR="00784BF9" w:rsidRPr="00ED31D0" w:rsidRDefault="00633239" w:rsidP="00784BF9">
      <w:pPr>
        <w:rPr>
          <w:lang w:val="pl-PL"/>
        </w:rPr>
      </w:pPr>
      <w:r>
        <w:rPr>
          <w:lang w:val="pl-PL"/>
        </w:rPr>
        <w:t xml:space="preserve">Streszczenie </w:t>
      </w:r>
      <w:r w:rsidR="00A5169F">
        <w:rPr>
          <w:lang w:val="pl-PL"/>
        </w:rPr>
        <w:t xml:space="preserve">artykułu </w:t>
      </w:r>
      <w:r>
        <w:rPr>
          <w:lang w:val="pl-PL"/>
        </w:rPr>
        <w:t>w języku polskim</w:t>
      </w:r>
      <w:r w:rsidR="00A5169F">
        <w:rPr>
          <w:lang w:val="pl-PL"/>
        </w:rPr>
        <w:t xml:space="preserve">. </w:t>
      </w:r>
      <w:r w:rsidR="00784BF9">
        <w:rPr>
          <w:lang w:val="pl-PL"/>
        </w:rPr>
        <w:t>Długość s</w:t>
      </w:r>
      <w:r w:rsidR="00A5169F">
        <w:rPr>
          <w:lang w:val="pl-PL"/>
        </w:rPr>
        <w:t xml:space="preserve">treszczenie nie może przekraczać 700 znaków </w:t>
      </w:r>
      <w:r w:rsidR="00103463">
        <w:rPr>
          <w:lang w:val="pl-PL"/>
        </w:rPr>
        <w:t>licząc ze spacjami.</w:t>
      </w:r>
    </w:p>
    <w:p w14:paraId="28892B9A" w14:textId="0F2A608E" w:rsidR="00683BFB" w:rsidRPr="00E222C1" w:rsidRDefault="00683BFB" w:rsidP="00683BFB">
      <w:pPr>
        <w:rPr>
          <w:lang w:val="pl-PL"/>
        </w:rPr>
      </w:pPr>
      <w:r w:rsidRPr="00E222C1">
        <w:rPr>
          <w:b/>
          <w:bCs/>
          <w:lang w:val="pl-PL"/>
        </w:rPr>
        <w:t>Słowa kluczowe</w:t>
      </w:r>
      <w:r w:rsidR="00E222C1" w:rsidRPr="00E222C1">
        <w:rPr>
          <w:b/>
          <w:bCs/>
          <w:lang w:val="pl-PL"/>
        </w:rPr>
        <w:t xml:space="preserve">: </w:t>
      </w:r>
      <w:r w:rsidR="00C714B3">
        <w:rPr>
          <w:lang w:val="pl-PL"/>
        </w:rPr>
        <w:t>d</w:t>
      </w:r>
      <w:r w:rsidRPr="00E222C1">
        <w:rPr>
          <w:lang w:val="pl-PL"/>
        </w:rPr>
        <w:t>o 5 haseł oddzielon</w:t>
      </w:r>
      <w:r w:rsidR="003C157F">
        <w:rPr>
          <w:lang w:val="pl-PL"/>
        </w:rPr>
        <w:t>ych</w:t>
      </w:r>
      <w:r w:rsidRPr="00E222C1">
        <w:rPr>
          <w:lang w:val="pl-PL"/>
        </w:rPr>
        <w:t xml:space="preserve"> przecinkami</w:t>
      </w:r>
      <w:r w:rsidR="003C157F" w:rsidRPr="003C157F">
        <w:rPr>
          <w:lang w:val="pl-PL"/>
        </w:rPr>
        <w:t>.</w:t>
      </w:r>
    </w:p>
    <w:p w14:paraId="6361B9B6" w14:textId="77777777" w:rsidR="000A71C1" w:rsidRPr="00E222C1" w:rsidRDefault="000A71C1" w:rsidP="00710861">
      <w:pPr>
        <w:rPr>
          <w:b/>
          <w:lang w:val="pl-PL"/>
        </w:rPr>
      </w:pPr>
    </w:p>
    <w:p w14:paraId="70AB02AF" w14:textId="017E3108" w:rsidR="002771F1" w:rsidRPr="00B11FF7" w:rsidRDefault="000A71C1" w:rsidP="00E222C1">
      <w:pPr>
        <w:rPr>
          <w:b/>
          <w:bCs/>
        </w:rPr>
      </w:pPr>
      <w:r w:rsidRPr="00B11FF7">
        <w:rPr>
          <w:b/>
          <w:bCs/>
        </w:rPr>
        <w:t>Abstract</w:t>
      </w:r>
    </w:p>
    <w:p w14:paraId="6F4580A9" w14:textId="2934413B" w:rsidR="00771F61" w:rsidRDefault="009A558D" w:rsidP="006C6F52">
      <w:pPr>
        <w:rPr>
          <w:noProof/>
        </w:rPr>
      </w:pPr>
      <w:r w:rsidRPr="009A558D">
        <w:t>Abstract of the article in English. The abstract must not exceed 700 characters, including spaces.</w:t>
      </w:r>
    </w:p>
    <w:p w14:paraId="1DE2111A" w14:textId="26EEC8D2" w:rsidR="002771F1" w:rsidRPr="00955A97" w:rsidRDefault="000A71C1" w:rsidP="00E222C1">
      <w:r w:rsidRPr="00E222C1">
        <w:rPr>
          <w:rStyle w:val="Pogrubienie"/>
        </w:rPr>
        <w:t>Keywords</w:t>
      </w:r>
      <w:r w:rsidR="00E222C1" w:rsidRPr="00E222C1">
        <w:rPr>
          <w:rStyle w:val="Pogrubienie"/>
        </w:rPr>
        <w:t>:</w:t>
      </w:r>
      <w:r w:rsidR="00E222C1">
        <w:rPr>
          <w:rStyle w:val="Pogrubienie"/>
          <w:b w:val="0"/>
          <w:bCs w:val="0"/>
        </w:rPr>
        <w:t xml:space="preserve"> </w:t>
      </w:r>
      <w:r w:rsidR="009A558D" w:rsidRPr="009A558D">
        <w:rPr>
          <w:rStyle w:val="Pogrubienie"/>
          <w:b w:val="0"/>
          <w:bCs w:val="0"/>
        </w:rPr>
        <w:t xml:space="preserve">up to 5 </w:t>
      </w:r>
      <w:r w:rsidR="009A558D">
        <w:rPr>
          <w:rStyle w:val="Pogrubienie"/>
          <w:b w:val="0"/>
          <w:bCs w:val="0"/>
        </w:rPr>
        <w:t>term</w:t>
      </w:r>
      <w:r w:rsidR="007E149C">
        <w:rPr>
          <w:rStyle w:val="Pogrubienie"/>
          <w:b w:val="0"/>
          <w:bCs w:val="0"/>
        </w:rPr>
        <w:t>s</w:t>
      </w:r>
      <w:r w:rsidR="009A558D" w:rsidRPr="009A558D">
        <w:rPr>
          <w:rStyle w:val="Pogrubienie"/>
          <w:b w:val="0"/>
          <w:bCs w:val="0"/>
        </w:rPr>
        <w:t xml:space="preserve"> separated by commas.</w:t>
      </w:r>
    </w:p>
    <w:p w14:paraId="54E5AFFF" w14:textId="77777777" w:rsidR="000A71C1" w:rsidRPr="00955A97" w:rsidRDefault="000A71C1" w:rsidP="00710861">
      <w:pPr>
        <w:rPr>
          <w:b/>
        </w:rPr>
      </w:pPr>
    </w:p>
    <w:p w14:paraId="04B6E638" w14:textId="2618FAB4" w:rsidR="002771F1" w:rsidRPr="006C6F52" w:rsidRDefault="008A6883" w:rsidP="00607F6A">
      <w:pPr>
        <w:pStyle w:val="Nagwek1"/>
      </w:pPr>
      <w:r>
        <w:t xml:space="preserve">Akapity i rozdziały </w:t>
      </w:r>
      <w:r w:rsidR="00354DC5">
        <w:t>(</w:t>
      </w:r>
      <w:r w:rsidR="0087595B">
        <w:t>Nagłówek 1</w:t>
      </w:r>
      <w:r w:rsidR="00354DC5">
        <w:t>)</w:t>
      </w:r>
    </w:p>
    <w:p w14:paraId="795BC31C" w14:textId="4AFCF492" w:rsidR="00D652D8" w:rsidRDefault="00D652D8" w:rsidP="006C6F52">
      <w:pPr>
        <w:rPr>
          <w:lang w:val="pl-PL"/>
        </w:rPr>
      </w:pPr>
      <w:r>
        <w:rPr>
          <w:lang w:val="pl-PL"/>
        </w:rPr>
        <w:t>Zwykły</w:t>
      </w:r>
      <w:r w:rsidR="00D96ED3">
        <w:rPr>
          <w:lang w:val="pl-PL"/>
        </w:rPr>
        <w:t xml:space="preserve"> tekst akapitu (s</w:t>
      </w:r>
      <w:r w:rsidR="00354DC5">
        <w:rPr>
          <w:lang w:val="pl-PL"/>
        </w:rPr>
        <w:t>tyl „Normalny”</w:t>
      </w:r>
      <w:r w:rsidR="00D96ED3">
        <w:rPr>
          <w:lang w:val="pl-PL"/>
        </w:rPr>
        <w:t>)</w:t>
      </w:r>
      <w:r w:rsidR="00354DC5">
        <w:rPr>
          <w:lang w:val="pl-PL"/>
        </w:rPr>
        <w:t xml:space="preserve">. </w:t>
      </w:r>
      <w:r w:rsidR="00BB26D1" w:rsidRPr="00BB26D1">
        <w:rPr>
          <w:lang w:val="pl-PL"/>
        </w:rPr>
        <w:t>Nie należy stosować wcięć</w:t>
      </w:r>
      <w:r w:rsidR="00DF672D">
        <w:rPr>
          <w:lang w:val="pl-PL"/>
        </w:rPr>
        <w:t xml:space="preserve"> akapitów</w:t>
      </w:r>
      <w:r w:rsidR="00BB26D1" w:rsidRPr="00BB26D1">
        <w:rPr>
          <w:lang w:val="pl-PL"/>
        </w:rPr>
        <w:t xml:space="preserve">, </w:t>
      </w:r>
      <w:r w:rsidR="00BB26D1">
        <w:rPr>
          <w:lang w:val="pl-PL"/>
        </w:rPr>
        <w:t xml:space="preserve">zwiększonych </w:t>
      </w:r>
      <w:r w:rsidR="00BB26D1" w:rsidRPr="00BB26D1">
        <w:rPr>
          <w:lang w:val="pl-PL"/>
        </w:rPr>
        <w:t>odstępów, podziału wyrazów, ręcznego podziału wiersza, ręcznego podziału stron itd.</w:t>
      </w:r>
    </w:p>
    <w:p w14:paraId="522FA1AB" w14:textId="2F0ADAE7" w:rsidR="00175F54" w:rsidRDefault="00175F54" w:rsidP="006C6F52">
      <w:pPr>
        <w:rPr>
          <w:lang w:val="pl-PL"/>
        </w:rPr>
      </w:pPr>
      <w:r>
        <w:rPr>
          <w:lang w:val="pl-PL"/>
        </w:rPr>
        <w:lastRenderedPageBreak/>
        <w:t>Artykuł powinien być podzielony na logiczne rozdziały (części), wyróżnione numerowanymi nagłówkami (styl „Nagłówek 1”).</w:t>
      </w:r>
    </w:p>
    <w:p w14:paraId="56B2EF0A" w14:textId="4BE7A178" w:rsidR="00366BF0" w:rsidRDefault="00244225" w:rsidP="00853A09">
      <w:pPr>
        <w:pStyle w:val="Nagwek2"/>
      </w:pPr>
      <w:r>
        <w:t>Tytuły p</w:t>
      </w:r>
      <w:r w:rsidR="007B6DDE">
        <w:t>odpunkt</w:t>
      </w:r>
      <w:r>
        <w:t>ów</w:t>
      </w:r>
      <w:r w:rsidR="007B6DDE">
        <w:t xml:space="preserve"> </w:t>
      </w:r>
      <w:r>
        <w:t xml:space="preserve">w </w:t>
      </w:r>
      <w:r w:rsidR="007B6DDE">
        <w:t>rozdzia</w:t>
      </w:r>
      <w:r>
        <w:t>le</w:t>
      </w:r>
      <w:r w:rsidR="007B6DDE">
        <w:t xml:space="preserve"> (</w:t>
      </w:r>
      <w:r w:rsidR="004362C1">
        <w:t>Nagłówek 2</w:t>
      </w:r>
      <w:r w:rsidR="007B6DDE">
        <w:t>)</w:t>
      </w:r>
    </w:p>
    <w:p w14:paraId="185E34A7" w14:textId="3A32471E" w:rsidR="002B683D" w:rsidRDefault="00B50E44" w:rsidP="006C6F52">
      <w:pPr>
        <w:rPr>
          <w:lang w:val="pl-PL"/>
        </w:rPr>
      </w:pPr>
      <w:r>
        <w:rPr>
          <w:lang w:val="pl-PL"/>
        </w:rPr>
        <w:t xml:space="preserve">Podpunkty rozdziałów </w:t>
      </w:r>
      <w:r w:rsidR="002B683D">
        <w:rPr>
          <w:lang w:val="pl-PL"/>
        </w:rPr>
        <w:t xml:space="preserve">wyróżnione numerowanymi nagłówkami </w:t>
      </w:r>
      <w:r w:rsidR="007B6DDE">
        <w:rPr>
          <w:lang w:val="pl-PL"/>
        </w:rPr>
        <w:t xml:space="preserve">(styl </w:t>
      </w:r>
      <w:r w:rsidR="002B683D">
        <w:rPr>
          <w:lang w:val="pl-PL"/>
        </w:rPr>
        <w:t>„Nagłówek 2”</w:t>
      </w:r>
      <w:r w:rsidR="007B6DDE">
        <w:rPr>
          <w:lang w:val="pl-PL"/>
        </w:rPr>
        <w:t>).</w:t>
      </w:r>
      <w:r w:rsidR="002B683D">
        <w:rPr>
          <w:lang w:val="pl-PL"/>
        </w:rPr>
        <w:t xml:space="preserve"> </w:t>
      </w:r>
    </w:p>
    <w:p w14:paraId="354C1FD8" w14:textId="7F7B0F67" w:rsidR="00B43C3E" w:rsidRDefault="002B683D" w:rsidP="006C6F52">
      <w:pPr>
        <w:rPr>
          <w:lang w:val="pl-PL"/>
        </w:rPr>
      </w:pPr>
      <w:r>
        <w:rPr>
          <w:lang w:val="pl-PL"/>
        </w:rPr>
        <w:t>Nie zaleca się stosowania trzeciego i kolejnych poziomów nagłówkowych w artykule.</w:t>
      </w:r>
    </w:p>
    <w:p w14:paraId="68E7B305" w14:textId="12D61F1B" w:rsidR="00CE3D45" w:rsidRPr="00607F6A" w:rsidRDefault="00A8027B" w:rsidP="00607F6A">
      <w:pPr>
        <w:pStyle w:val="Nagwek1"/>
      </w:pPr>
      <w:r w:rsidRPr="00607F6A">
        <w:t xml:space="preserve">Elementy </w:t>
      </w:r>
      <w:r w:rsidR="00721827" w:rsidRPr="00607F6A">
        <w:t xml:space="preserve">osadzone </w:t>
      </w:r>
      <w:r w:rsidRPr="00607F6A">
        <w:t>w tekście artykułu</w:t>
      </w:r>
      <w:r w:rsidR="00765C9A" w:rsidRPr="00607F6A">
        <w:t xml:space="preserve"> (Nagłówek 1)</w:t>
      </w:r>
    </w:p>
    <w:p w14:paraId="602DDB3A" w14:textId="77777777" w:rsidR="00A8027B" w:rsidRDefault="00A8027B" w:rsidP="00853A09">
      <w:pPr>
        <w:pStyle w:val="Nagwek2"/>
      </w:pPr>
      <w:r>
        <w:t xml:space="preserve">Tabele </w:t>
      </w:r>
    </w:p>
    <w:p w14:paraId="5A401CD5" w14:textId="18653302" w:rsidR="00A8027B" w:rsidRDefault="00A8027B" w:rsidP="00A8027B">
      <w:pPr>
        <w:rPr>
          <w:lang w:val="pl-PL"/>
        </w:rPr>
      </w:pPr>
      <w:r>
        <w:rPr>
          <w:lang w:val="pl-PL"/>
        </w:rPr>
        <w:t xml:space="preserve">Tabele muszą być edytowalne w edytorze MS Word i zawierać tekst w stylu „Normalny”. Nie dopuszcza się tabel w postaci pliku graficznego. </w:t>
      </w:r>
      <w:r w:rsidR="00E7593E">
        <w:rPr>
          <w:lang w:val="pl-PL"/>
        </w:rPr>
        <w:t>Nie</w:t>
      </w:r>
      <w:r>
        <w:rPr>
          <w:lang w:val="pl-PL"/>
        </w:rPr>
        <w:t xml:space="preserve"> stosować wypełnienia kolorem. </w:t>
      </w:r>
    </w:p>
    <w:p w14:paraId="33DB0B8D" w14:textId="27F3CB5E" w:rsidR="00A8027B" w:rsidRDefault="00A8027B" w:rsidP="00A8027B">
      <w:pPr>
        <w:rPr>
          <w:lang w:val="pl-PL"/>
        </w:rPr>
      </w:pPr>
      <w:r>
        <w:rPr>
          <w:lang w:val="pl-PL"/>
        </w:rPr>
        <w:t xml:space="preserve">Nad każdą tabelą </w:t>
      </w:r>
      <w:r w:rsidR="00E7593E">
        <w:rPr>
          <w:lang w:val="pl-PL"/>
        </w:rPr>
        <w:t xml:space="preserve">należy </w:t>
      </w:r>
      <w:r>
        <w:rPr>
          <w:lang w:val="pl-PL"/>
        </w:rPr>
        <w:t xml:space="preserve">umieścić numerowany tytuł </w:t>
      </w:r>
      <w:r w:rsidR="006F43EB">
        <w:rPr>
          <w:lang w:val="pl-PL"/>
        </w:rPr>
        <w:t xml:space="preserve">(styl „Tytuł tabeli”) </w:t>
      </w:r>
      <w:r>
        <w:rPr>
          <w:lang w:val="pl-PL"/>
        </w:rPr>
        <w:t>w języku polskim i w języku angielskim</w:t>
      </w:r>
      <w:r w:rsidR="00BD2D3D">
        <w:rPr>
          <w:lang w:val="pl-PL"/>
        </w:rPr>
        <w:t xml:space="preserve"> (bez kropki na końcu)</w:t>
      </w:r>
      <w:r>
        <w:rPr>
          <w:lang w:val="pl-PL"/>
        </w:rPr>
        <w:t>, z podaniem źródła danych. Każda tabela musi mieć odwołanie w tekście artykułu</w:t>
      </w:r>
      <w:r w:rsidR="002962DC">
        <w:rPr>
          <w:lang w:val="pl-PL"/>
        </w:rPr>
        <w:t xml:space="preserve"> (tab. 2)</w:t>
      </w:r>
      <w:r>
        <w:rPr>
          <w:lang w:val="pl-PL"/>
        </w:rPr>
        <w:t>.</w:t>
      </w:r>
    </w:p>
    <w:p w14:paraId="7556FD0E" w14:textId="77777777" w:rsidR="00A8027B" w:rsidRPr="006C6F52" w:rsidRDefault="00A8027B" w:rsidP="00A8027B">
      <w:pPr>
        <w:rPr>
          <w:lang w:val="pl-PL"/>
        </w:rPr>
      </w:pPr>
    </w:p>
    <w:p w14:paraId="25370450" w14:textId="470AF089" w:rsidR="00A8027B" w:rsidRPr="006C6F52" w:rsidRDefault="00A8027B" w:rsidP="0082027D">
      <w:pPr>
        <w:pStyle w:val="Podpisitytu"/>
      </w:pPr>
      <w:r w:rsidRPr="006C6F52">
        <w:t>Tab</w:t>
      </w:r>
      <w:r w:rsidR="001F1424">
        <w:t xml:space="preserve">ela </w:t>
      </w:r>
      <w:r w:rsidRPr="006C6F52">
        <w:t xml:space="preserve">1. </w:t>
      </w:r>
      <w:r>
        <w:t>Tabela 9cm, t</w:t>
      </w:r>
      <w:r w:rsidRPr="006C6F52">
        <w:t xml:space="preserve">ytuł </w:t>
      </w:r>
      <w:r>
        <w:t xml:space="preserve">tabeli </w:t>
      </w:r>
      <w:r w:rsidRPr="006C6F52">
        <w:t>w języku polskim</w:t>
      </w:r>
      <w:r>
        <w:t xml:space="preserve"> [1]</w:t>
      </w:r>
    </w:p>
    <w:p w14:paraId="4AAD3F36" w14:textId="3F76EA21" w:rsidR="00A8027B" w:rsidRPr="00955A97" w:rsidRDefault="00A8027B" w:rsidP="0082027D">
      <w:pPr>
        <w:pStyle w:val="Podpisitytu"/>
        <w:rPr>
          <w:lang w:val="en-US"/>
        </w:rPr>
      </w:pPr>
      <w:r w:rsidRPr="00B11FF7">
        <w:rPr>
          <w:lang w:val="en-US"/>
        </w:rPr>
        <w:t>Tab</w:t>
      </w:r>
      <w:r w:rsidR="001F1424">
        <w:rPr>
          <w:lang w:val="en-US"/>
        </w:rPr>
        <w:t xml:space="preserve">le </w:t>
      </w:r>
      <w:r w:rsidRPr="00B11FF7">
        <w:rPr>
          <w:lang w:val="en-US"/>
        </w:rPr>
        <w:t xml:space="preserve">1. </w:t>
      </w:r>
      <w:r>
        <w:rPr>
          <w:lang w:val="en-US"/>
        </w:rPr>
        <w:t>Table 9 cm, t</w:t>
      </w:r>
      <w:r w:rsidRPr="00955A97">
        <w:rPr>
          <w:lang w:val="en-US"/>
        </w:rPr>
        <w:t>itle in English</w:t>
      </w:r>
      <w:r>
        <w:rPr>
          <w:lang w:val="en-US"/>
        </w:rPr>
        <w:t xml:space="preserve"> [1]</w:t>
      </w:r>
    </w:p>
    <w:tbl>
      <w:tblPr>
        <w:tblStyle w:val="Tabela-Siatka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552"/>
      </w:tblGrid>
      <w:tr w:rsidR="00A8027B" w:rsidRPr="00FD2D12" w14:paraId="3BF84A8E" w14:textId="77777777" w:rsidTr="006F43EB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735EE5C3" w14:textId="1CF9F3C4" w:rsidR="00A8027B" w:rsidRPr="00FD2D12" w:rsidRDefault="00A8027B" w:rsidP="0019185C">
            <w:pPr>
              <w:jc w:val="center"/>
              <w:rPr>
                <w:b/>
                <w:bCs/>
                <w:lang w:val="pl-PL"/>
              </w:rPr>
            </w:pPr>
            <w:r w:rsidRPr="00FD2D12">
              <w:rPr>
                <w:b/>
                <w:bCs/>
                <w:lang w:val="pl-PL"/>
              </w:rPr>
              <w:t>Wielkość 1</w:t>
            </w:r>
            <w:r w:rsidR="004400FA">
              <w:rPr>
                <w:b/>
                <w:bCs/>
                <w:lang w:val="pl-PL"/>
              </w:rPr>
              <w:t xml:space="preserve"> [</w:t>
            </w:r>
            <w:r w:rsidRPr="00FD2D12">
              <w:rPr>
                <w:b/>
                <w:bCs/>
                <w:lang w:val="pl-PL"/>
              </w:rPr>
              <w:t>kWh</w:t>
            </w:r>
            <w:r w:rsidR="004400FA">
              <w:rPr>
                <w:b/>
                <w:bCs/>
                <w:lang w:val="pl-PL"/>
              </w:rPr>
              <w:t>]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1AA1604E" w14:textId="4D5DF9EA" w:rsidR="00A8027B" w:rsidRPr="004400FA" w:rsidRDefault="00A8027B" w:rsidP="0019185C">
            <w:pPr>
              <w:jc w:val="center"/>
              <w:rPr>
                <w:b/>
                <w:bCs/>
                <w:vertAlign w:val="subscript"/>
                <w:lang w:val="pl-PL"/>
              </w:rPr>
            </w:pPr>
            <w:r w:rsidRPr="00FD2D12">
              <w:rPr>
                <w:b/>
                <w:bCs/>
                <w:lang w:val="pl-PL"/>
              </w:rPr>
              <w:t>Wielkość 2</w:t>
            </w:r>
            <w:r w:rsidR="004400FA">
              <w:rPr>
                <w:b/>
                <w:bCs/>
                <w:lang w:val="pl-PL"/>
              </w:rPr>
              <w:t xml:space="preserve"> [</w:t>
            </w:r>
            <w:r w:rsidRPr="00FD2D12">
              <w:rPr>
                <w:b/>
                <w:bCs/>
                <w:lang w:val="pl-PL"/>
              </w:rPr>
              <w:t>W/m</w:t>
            </w:r>
            <w:r w:rsidRPr="00FD2D12">
              <w:rPr>
                <w:b/>
                <w:bCs/>
                <w:vertAlign w:val="superscript"/>
                <w:lang w:val="pl-PL"/>
              </w:rPr>
              <w:t>2</w:t>
            </w:r>
            <w:r w:rsidR="004400FA" w:rsidRPr="004400FA">
              <w:rPr>
                <w:b/>
                <w:bCs/>
                <w:lang w:val="pl-PL"/>
              </w:rPr>
              <w:t>]</w:t>
            </w:r>
          </w:p>
        </w:tc>
      </w:tr>
      <w:tr w:rsidR="00A8027B" w:rsidRPr="006C6F52" w14:paraId="444540E9" w14:textId="77777777" w:rsidTr="006F43EB">
        <w:tc>
          <w:tcPr>
            <w:tcW w:w="2405" w:type="dxa"/>
            <w:tcBorders>
              <w:top w:val="single" w:sz="4" w:space="0" w:color="auto"/>
            </w:tcBorders>
          </w:tcPr>
          <w:p w14:paraId="3F510898" w14:textId="77777777" w:rsidR="00A8027B" w:rsidRPr="006C6F52" w:rsidRDefault="00A8027B" w:rsidP="0019185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19,0</w:t>
            </w:r>
          </w:p>
        </w:tc>
        <w:tc>
          <w:tcPr>
            <w:tcW w:w="2405" w:type="dxa"/>
            <w:tcBorders>
              <w:top w:val="single" w:sz="4" w:space="0" w:color="auto"/>
            </w:tcBorders>
          </w:tcPr>
          <w:p w14:paraId="22C39559" w14:textId="77777777" w:rsidR="00A8027B" w:rsidRPr="006C6F52" w:rsidRDefault="00A8027B" w:rsidP="0019185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1,90</w:t>
            </w:r>
          </w:p>
        </w:tc>
      </w:tr>
      <w:tr w:rsidR="00A8027B" w:rsidRPr="006C6F52" w14:paraId="7E863575" w14:textId="77777777" w:rsidTr="006F43EB">
        <w:tc>
          <w:tcPr>
            <w:tcW w:w="2405" w:type="dxa"/>
          </w:tcPr>
          <w:p w14:paraId="2FD812B9" w14:textId="77777777" w:rsidR="00A8027B" w:rsidRPr="006C6F52" w:rsidRDefault="00A8027B" w:rsidP="0019185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12,5</w:t>
            </w:r>
          </w:p>
        </w:tc>
        <w:tc>
          <w:tcPr>
            <w:tcW w:w="2405" w:type="dxa"/>
          </w:tcPr>
          <w:p w14:paraId="0F530226" w14:textId="77777777" w:rsidR="00A8027B" w:rsidRPr="006C6F52" w:rsidRDefault="00A8027B" w:rsidP="0019185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1,25</w:t>
            </w:r>
          </w:p>
        </w:tc>
      </w:tr>
      <w:tr w:rsidR="00A8027B" w:rsidRPr="006C6F52" w14:paraId="0FD693D8" w14:textId="77777777" w:rsidTr="006F43EB">
        <w:tc>
          <w:tcPr>
            <w:tcW w:w="2405" w:type="dxa"/>
            <w:tcBorders>
              <w:bottom w:val="single" w:sz="4" w:space="0" w:color="auto"/>
            </w:tcBorders>
          </w:tcPr>
          <w:p w14:paraId="7DBDB88B" w14:textId="77777777" w:rsidR="00A8027B" w:rsidRPr="006C6F52" w:rsidRDefault="00A8027B" w:rsidP="0019185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10,0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725DB430" w14:textId="77777777" w:rsidR="00A8027B" w:rsidRPr="006C6F52" w:rsidRDefault="00A8027B" w:rsidP="0019185C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1,00</w:t>
            </w:r>
          </w:p>
        </w:tc>
      </w:tr>
    </w:tbl>
    <w:p w14:paraId="35F2896E" w14:textId="77777777" w:rsidR="00A8027B" w:rsidRDefault="00A8027B" w:rsidP="00A8027B">
      <w:pPr>
        <w:rPr>
          <w:lang w:val="pl-PL"/>
        </w:rPr>
      </w:pPr>
    </w:p>
    <w:p w14:paraId="348F1123" w14:textId="63B0BAB7" w:rsidR="00A8027B" w:rsidRPr="0082027D" w:rsidRDefault="00A8027B" w:rsidP="0082027D">
      <w:pPr>
        <w:pStyle w:val="Podpisitytu"/>
      </w:pPr>
      <w:r w:rsidRPr="0082027D">
        <w:t>Tab</w:t>
      </w:r>
      <w:r w:rsidR="001F1424" w:rsidRPr="0082027D">
        <w:t xml:space="preserve">ela </w:t>
      </w:r>
      <w:r w:rsidRPr="0082027D">
        <w:t>2. Tabela 18 cm, tytuł tabeli w języku polskim (opracowanie własne)</w:t>
      </w:r>
    </w:p>
    <w:p w14:paraId="6F912CD3" w14:textId="4D45A33B" w:rsidR="00A8027B" w:rsidRPr="005D74AA" w:rsidRDefault="00A8027B" w:rsidP="0082027D">
      <w:pPr>
        <w:pStyle w:val="Podpisitytu"/>
        <w:rPr>
          <w:lang w:val="en-GB"/>
        </w:rPr>
      </w:pPr>
      <w:r w:rsidRPr="005D74AA">
        <w:rPr>
          <w:lang w:val="en-GB"/>
        </w:rPr>
        <w:t>Tab</w:t>
      </w:r>
      <w:r w:rsidR="001F1424" w:rsidRPr="005D74AA">
        <w:rPr>
          <w:lang w:val="en-GB"/>
        </w:rPr>
        <w:t xml:space="preserve">le </w:t>
      </w:r>
      <w:r w:rsidRPr="005D74AA">
        <w:rPr>
          <w:lang w:val="en-GB"/>
        </w:rPr>
        <w:t>2. Table 18 cm, title in English (authors’ own study)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2268"/>
        <w:gridCol w:w="2268"/>
        <w:gridCol w:w="2268"/>
      </w:tblGrid>
      <w:tr w:rsidR="00A8027B" w:rsidRPr="006C6F52" w14:paraId="569F6257" w14:textId="77777777" w:rsidTr="006F43EB"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14:paraId="2F7194F0" w14:textId="77777777" w:rsidR="00A8027B" w:rsidRPr="006C6F52" w:rsidRDefault="00A8027B" w:rsidP="00340B2F">
            <w:pPr>
              <w:jc w:val="center"/>
              <w:rPr>
                <w:b/>
                <w:bCs/>
                <w:lang w:val="pl-PL"/>
              </w:rPr>
            </w:pPr>
            <w:r w:rsidRPr="006C6F52">
              <w:rPr>
                <w:b/>
                <w:bCs/>
                <w:lang w:val="pl-PL"/>
              </w:rPr>
              <w:t>Tytuł kolumny 1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14:paraId="336B7F73" w14:textId="68229362" w:rsidR="00A8027B" w:rsidRPr="006C6F52" w:rsidRDefault="00340B2F" w:rsidP="00340B2F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Strumień</w:t>
            </w:r>
            <w:r w:rsidR="00396543">
              <w:rPr>
                <w:b/>
                <w:bCs/>
                <w:lang w:val="pl-PL"/>
              </w:rPr>
              <w:t xml:space="preserve"> [</w:t>
            </w:r>
            <w:r>
              <w:rPr>
                <w:b/>
                <w:bCs/>
                <w:lang w:val="pl-PL"/>
              </w:rPr>
              <w:t>kg/h</w:t>
            </w:r>
            <w:r w:rsidR="00396543">
              <w:rPr>
                <w:b/>
                <w:bCs/>
                <w:lang w:val="pl-PL"/>
              </w:rPr>
              <w:t>]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14:paraId="3E052476" w14:textId="77777777" w:rsidR="00A8027B" w:rsidRPr="006C6F52" w:rsidRDefault="00A8027B" w:rsidP="00340B2F">
            <w:pPr>
              <w:jc w:val="center"/>
              <w:rPr>
                <w:b/>
                <w:bCs/>
                <w:lang w:val="pl-PL"/>
              </w:rPr>
            </w:pPr>
            <w:r w:rsidRPr="006C6F52">
              <w:rPr>
                <w:b/>
                <w:bCs/>
                <w:lang w:val="pl-PL"/>
              </w:rPr>
              <w:t>Tytuł kolumny 3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14:paraId="665499DB" w14:textId="00D6EFFC" w:rsidR="00A8027B" w:rsidRPr="006C6F52" w:rsidRDefault="00396543" w:rsidP="00340B2F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Powierzania [m</w:t>
            </w:r>
            <w:r w:rsidRPr="00396543">
              <w:rPr>
                <w:b/>
                <w:bCs/>
                <w:vertAlign w:val="superscript"/>
                <w:lang w:val="pl-PL"/>
              </w:rPr>
              <w:t>2</w:t>
            </w:r>
            <w:r>
              <w:rPr>
                <w:b/>
                <w:bCs/>
                <w:lang w:val="pl-PL"/>
              </w:rPr>
              <w:t>]</w:t>
            </w:r>
          </w:p>
        </w:tc>
      </w:tr>
      <w:tr w:rsidR="00A8027B" w:rsidRPr="006C6F52" w14:paraId="4A5DE00D" w14:textId="77777777" w:rsidTr="006F43EB">
        <w:tc>
          <w:tcPr>
            <w:tcW w:w="1909" w:type="dxa"/>
            <w:tcBorders>
              <w:top w:val="single" w:sz="4" w:space="0" w:color="auto"/>
            </w:tcBorders>
          </w:tcPr>
          <w:p w14:paraId="3B8C8024" w14:textId="6CA14238" w:rsidR="00A8027B" w:rsidRPr="006C6F52" w:rsidRDefault="006F43EB" w:rsidP="00340B2F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Zawór TD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14:paraId="181CCB6F" w14:textId="77777777" w:rsidR="00A8027B" w:rsidRPr="006C6F52" w:rsidRDefault="00A8027B" w:rsidP="00340B2F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13,0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14:paraId="23B51973" w14:textId="77777777" w:rsidR="00A8027B" w:rsidRPr="006C6F52" w:rsidRDefault="00A8027B" w:rsidP="00340B2F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Pomiar</w:t>
            </w:r>
          </w:p>
        </w:tc>
        <w:tc>
          <w:tcPr>
            <w:tcW w:w="1909" w:type="dxa"/>
            <w:tcBorders>
              <w:top w:val="single" w:sz="4" w:space="0" w:color="auto"/>
            </w:tcBorders>
          </w:tcPr>
          <w:p w14:paraId="759E0620" w14:textId="77777777" w:rsidR="00A8027B" w:rsidRPr="006C6F52" w:rsidRDefault="00A8027B" w:rsidP="00340B2F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66,6</w:t>
            </w:r>
          </w:p>
        </w:tc>
      </w:tr>
      <w:tr w:rsidR="00A8027B" w:rsidRPr="006C6F52" w14:paraId="1925BDB2" w14:textId="77777777" w:rsidTr="006F43EB">
        <w:tc>
          <w:tcPr>
            <w:tcW w:w="1909" w:type="dxa"/>
          </w:tcPr>
          <w:p w14:paraId="0E693841" w14:textId="20D992BE" w:rsidR="00A8027B" w:rsidRPr="006C6F52" w:rsidRDefault="006F43EB" w:rsidP="00340B2F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Pompa PO</w:t>
            </w:r>
          </w:p>
        </w:tc>
        <w:tc>
          <w:tcPr>
            <w:tcW w:w="1909" w:type="dxa"/>
          </w:tcPr>
          <w:p w14:paraId="759FCDCE" w14:textId="77777777" w:rsidR="00A8027B" w:rsidRPr="006C6F52" w:rsidRDefault="00A8027B" w:rsidP="00340B2F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9,5</w:t>
            </w:r>
          </w:p>
        </w:tc>
        <w:tc>
          <w:tcPr>
            <w:tcW w:w="1909" w:type="dxa"/>
          </w:tcPr>
          <w:p w14:paraId="0EA760E2" w14:textId="77777777" w:rsidR="00A8027B" w:rsidRPr="006C6F52" w:rsidRDefault="00A8027B" w:rsidP="00340B2F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Eksperyment</w:t>
            </w:r>
          </w:p>
        </w:tc>
        <w:tc>
          <w:tcPr>
            <w:tcW w:w="1909" w:type="dxa"/>
          </w:tcPr>
          <w:p w14:paraId="463C7A1E" w14:textId="77777777" w:rsidR="00A8027B" w:rsidRPr="006C6F52" w:rsidRDefault="00A8027B" w:rsidP="00340B2F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55,5</w:t>
            </w:r>
          </w:p>
        </w:tc>
      </w:tr>
      <w:tr w:rsidR="00A8027B" w:rsidRPr="006C6F52" w14:paraId="6526D12D" w14:textId="77777777" w:rsidTr="006F43EB">
        <w:tc>
          <w:tcPr>
            <w:tcW w:w="1909" w:type="dxa"/>
            <w:tcBorders>
              <w:bottom w:val="single" w:sz="4" w:space="0" w:color="auto"/>
            </w:tcBorders>
          </w:tcPr>
          <w:p w14:paraId="57EB259D" w14:textId="79418C14" w:rsidR="00A8027B" w:rsidRPr="006C6F52" w:rsidRDefault="0059344B" w:rsidP="00340B2F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Zasobnik</w:t>
            </w:r>
            <w:r w:rsidR="006F43EB">
              <w:rPr>
                <w:lang w:val="pl-PL"/>
              </w:rPr>
              <w:t xml:space="preserve"> </w:t>
            </w:r>
            <w:r>
              <w:rPr>
                <w:lang w:val="pl-PL"/>
              </w:rPr>
              <w:t>CW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14:paraId="730ECA9A" w14:textId="77777777" w:rsidR="00A8027B" w:rsidRPr="006C6F52" w:rsidRDefault="00A8027B" w:rsidP="00340B2F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34,0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14:paraId="197F7C98" w14:textId="77777777" w:rsidR="00A8027B" w:rsidRPr="006C6F52" w:rsidRDefault="00A8027B" w:rsidP="00340B2F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Pomiar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14:paraId="4ADB966E" w14:textId="77777777" w:rsidR="00A8027B" w:rsidRPr="006C6F52" w:rsidRDefault="00A8027B" w:rsidP="00340B2F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88,8</w:t>
            </w:r>
          </w:p>
        </w:tc>
      </w:tr>
    </w:tbl>
    <w:p w14:paraId="4C0B14E8" w14:textId="77777777" w:rsidR="00A8027B" w:rsidRDefault="00A8027B" w:rsidP="006C6F52">
      <w:pPr>
        <w:rPr>
          <w:lang w:val="pl-PL"/>
        </w:rPr>
      </w:pPr>
    </w:p>
    <w:p w14:paraId="1D35F023" w14:textId="095E302D" w:rsidR="006C6F52" w:rsidRDefault="00765D35" w:rsidP="00853A09">
      <w:pPr>
        <w:pStyle w:val="Nagwek2"/>
      </w:pPr>
      <w:r>
        <w:t>Wykresy</w:t>
      </w:r>
    </w:p>
    <w:p w14:paraId="0D2D2ED1" w14:textId="260CA407" w:rsidR="00CE1229" w:rsidRDefault="00F67813" w:rsidP="006C6F52">
      <w:pPr>
        <w:rPr>
          <w:lang w:val="pl-PL"/>
        </w:rPr>
      </w:pPr>
      <w:r>
        <w:rPr>
          <w:lang w:val="pl-PL"/>
        </w:rPr>
        <w:t xml:space="preserve">Zaleca się </w:t>
      </w:r>
      <w:r w:rsidR="006A18EB">
        <w:rPr>
          <w:lang w:val="pl-PL"/>
        </w:rPr>
        <w:t>przygotowa</w:t>
      </w:r>
      <w:r>
        <w:rPr>
          <w:lang w:val="pl-PL"/>
        </w:rPr>
        <w:t>nie wykresów</w:t>
      </w:r>
      <w:r w:rsidR="006A18EB">
        <w:rPr>
          <w:lang w:val="pl-PL"/>
        </w:rPr>
        <w:t xml:space="preserve"> </w:t>
      </w:r>
      <w:r w:rsidR="000C1465">
        <w:rPr>
          <w:lang w:val="pl-PL"/>
        </w:rPr>
        <w:t>do publikacji w jednej kolumnie (9</w:t>
      </w:r>
      <w:r w:rsidR="000B78C8">
        <w:rPr>
          <w:lang w:val="pl-PL"/>
        </w:rPr>
        <w:t xml:space="preserve"> </w:t>
      </w:r>
      <w:r w:rsidR="000C1465">
        <w:rPr>
          <w:lang w:val="pl-PL"/>
        </w:rPr>
        <w:t xml:space="preserve">cm szerokości) lub </w:t>
      </w:r>
      <w:r w:rsidR="000B78C8">
        <w:rPr>
          <w:lang w:val="pl-PL"/>
        </w:rPr>
        <w:t xml:space="preserve">na </w:t>
      </w:r>
      <w:r>
        <w:rPr>
          <w:lang w:val="pl-PL"/>
        </w:rPr>
        <w:t xml:space="preserve">całą </w:t>
      </w:r>
      <w:r w:rsidR="000B78C8">
        <w:rPr>
          <w:lang w:val="pl-PL"/>
        </w:rPr>
        <w:t>szerokość strony czasopisma (18</w:t>
      </w:r>
      <w:r w:rsidR="0073759D">
        <w:rPr>
          <w:lang w:val="pl-PL"/>
        </w:rPr>
        <w:t>,5</w:t>
      </w:r>
      <w:r w:rsidR="000B78C8">
        <w:rPr>
          <w:lang w:val="pl-PL"/>
        </w:rPr>
        <w:t xml:space="preserve"> cm szerokości). Zaleca się wektorowe grafiki wykresów (np. z Excela), dopuszcza się rastrowe grafiki wykresów wysokiej jakości. </w:t>
      </w:r>
    </w:p>
    <w:p w14:paraId="7B3A2BA4" w14:textId="5DE2D1D9" w:rsidR="00CE1229" w:rsidRDefault="00CC0E55" w:rsidP="006C6F52">
      <w:pPr>
        <w:rPr>
          <w:lang w:val="pl-PL"/>
        </w:rPr>
      </w:pPr>
      <w:r>
        <w:rPr>
          <w:lang w:val="pl-PL"/>
        </w:rPr>
        <w:lastRenderedPageBreak/>
        <w:t xml:space="preserve">Czcionki, linie </w:t>
      </w:r>
      <w:r w:rsidR="00193208">
        <w:rPr>
          <w:lang w:val="pl-PL"/>
        </w:rPr>
        <w:t xml:space="preserve">i znaczniki </w:t>
      </w:r>
      <w:r>
        <w:rPr>
          <w:lang w:val="pl-PL"/>
        </w:rPr>
        <w:t>seri</w:t>
      </w:r>
      <w:r w:rsidR="00193208">
        <w:rPr>
          <w:lang w:val="pl-PL"/>
        </w:rPr>
        <w:t>i</w:t>
      </w:r>
      <w:r>
        <w:rPr>
          <w:lang w:val="pl-PL"/>
        </w:rPr>
        <w:t xml:space="preserve"> danych, osie, </w:t>
      </w:r>
      <w:r w:rsidR="00193208">
        <w:rPr>
          <w:lang w:val="pl-PL"/>
        </w:rPr>
        <w:t xml:space="preserve">linie </w:t>
      </w:r>
      <w:r>
        <w:rPr>
          <w:lang w:val="pl-PL"/>
        </w:rPr>
        <w:t>siatki</w:t>
      </w:r>
      <w:r w:rsidR="00A0433F">
        <w:rPr>
          <w:lang w:val="pl-PL"/>
        </w:rPr>
        <w:t xml:space="preserve"> i zastosowany układ kolorów </w:t>
      </w:r>
      <w:r w:rsidR="00193208">
        <w:rPr>
          <w:lang w:val="pl-PL"/>
        </w:rPr>
        <w:t xml:space="preserve">mają zapewniać czytelność wykresu w docelowej wielkości. </w:t>
      </w:r>
      <w:r w:rsidR="00A0433F">
        <w:rPr>
          <w:lang w:val="pl-PL"/>
        </w:rPr>
        <w:t>Wykresy muszą mieć białe tło</w:t>
      </w:r>
      <w:r w:rsidR="00A567E8">
        <w:rPr>
          <w:lang w:val="pl-PL"/>
        </w:rPr>
        <w:t xml:space="preserve">, bez tytułu na wykresie, bez </w:t>
      </w:r>
      <w:r w:rsidR="007C388A">
        <w:rPr>
          <w:lang w:val="pl-PL"/>
        </w:rPr>
        <w:t xml:space="preserve">obramowania </w:t>
      </w:r>
      <w:r w:rsidR="00CE1229">
        <w:rPr>
          <w:lang w:val="pl-PL"/>
        </w:rPr>
        <w:t xml:space="preserve">całego </w:t>
      </w:r>
      <w:r w:rsidR="007C388A">
        <w:rPr>
          <w:lang w:val="pl-PL"/>
        </w:rPr>
        <w:t xml:space="preserve">wykresu. </w:t>
      </w:r>
      <w:r w:rsidR="00A0433F">
        <w:rPr>
          <w:lang w:val="pl-PL"/>
        </w:rPr>
        <w:t>Dopuszcza się wykresy kolorowe i czarno-białe</w:t>
      </w:r>
      <w:r w:rsidR="0017312F">
        <w:rPr>
          <w:lang w:val="pl-PL"/>
        </w:rPr>
        <w:t>.</w:t>
      </w:r>
      <w:r w:rsidR="00E17CFB">
        <w:rPr>
          <w:lang w:val="pl-PL"/>
        </w:rPr>
        <w:t xml:space="preserve"> </w:t>
      </w:r>
      <w:r w:rsidR="00CE1229">
        <w:rPr>
          <w:lang w:val="pl-PL"/>
        </w:rPr>
        <w:t>Zaleca się spójność graficzną wszystkich wykresów w artykule.</w:t>
      </w:r>
    </w:p>
    <w:p w14:paraId="3792649C" w14:textId="5428A9F1" w:rsidR="00E17CFB" w:rsidRDefault="00E17CFB" w:rsidP="00E17CFB">
      <w:pPr>
        <w:rPr>
          <w:lang w:val="pl-PL"/>
        </w:rPr>
      </w:pPr>
      <w:r>
        <w:rPr>
          <w:lang w:val="pl-PL"/>
        </w:rPr>
        <w:t>Pod każdym wykresem należy umieścić numerowany tytuł (styl „Podpis rysunku”) w języku polskim i w języku angielskim (bez kropki na końcu), z podaniem źródła danych. Każdy wykres musi mieć odwołanie w tekście artykułu</w:t>
      </w:r>
      <w:r w:rsidR="002962DC">
        <w:rPr>
          <w:lang w:val="pl-PL"/>
        </w:rPr>
        <w:t xml:space="preserve"> (rys. 1)</w:t>
      </w:r>
      <w:r>
        <w:rPr>
          <w:lang w:val="pl-PL"/>
        </w:rPr>
        <w:t>.</w:t>
      </w:r>
    </w:p>
    <w:p w14:paraId="13838502" w14:textId="77777777" w:rsidR="00E17CFB" w:rsidRDefault="00E17CFB" w:rsidP="006C6F52">
      <w:pPr>
        <w:rPr>
          <w:lang w:val="pl-PL"/>
        </w:rPr>
      </w:pPr>
    </w:p>
    <w:p w14:paraId="3CAB6A52" w14:textId="621DC212" w:rsidR="0017312F" w:rsidRDefault="004422D1" w:rsidP="006C6F52">
      <w:pPr>
        <w:rPr>
          <w:lang w:val="pl-PL"/>
        </w:rPr>
      </w:pPr>
      <w:r>
        <w:rPr>
          <w:noProof/>
          <w:lang w:val="pl-PL"/>
        </w:rPr>
        <w:drawing>
          <wp:inline distT="0" distB="0" distL="0" distR="0" wp14:anchorId="2AAB10A5" wp14:editId="6508F74F">
            <wp:extent cx="3240000" cy="3240000"/>
            <wp:effectExtent l="0" t="0" r="0" b="0"/>
            <wp:docPr id="1291615628" name="Obraz 3" descr="Obraz zawierający tekst, diagram, linia, Wykres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615628" name="Obraz 3" descr="Obraz zawierający tekst, diagram, linia, Wykres&#10;&#10;Zawartość wygenerowana przez AI może być niepoprawna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45FAD" w14:textId="598CA253" w:rsidR="00CE1229" w:rsidRPr="0082027D" w:rsidRDefault="00CE1229" w:rsidP="0082027D">
      <w:pPr>
        <w:pStyle w:val="Podpisitytu"/>
      </w:pPr>
      <w:r w:rsidRPr="0082027D">
        <w:t xml:space="preserve">Rys. 1. </w:t>
      </w:r>
      <w:r w:rsidR="004C6CA8" w:rsidRPr="0082027D">
        <w:t>Wykres jako grafika rastrowa wysokiej rozdzielczości</w:t>
      </w:r>
      <w:r w:rsidR="003440DD" w:rsidRPr="0082027D">
        <w:t>,</w:t>
      </w:r>
      <w:r w:rsidR="002962DC" w:rsidRPr="0082027D">
        <w:t xml:space="preserve"> szerokość 9 cm</w:t>
      </w:r>
      <w:r w:rsidRPr="0082027D">
        <w:t xml:space="preserve"> [4]</w:t>
      </w:r>
    </w:p>
    <w:p w14:paraId="3E27097A" w14:textId="0743BD14" w:rsidR="00CE1229" w:rsidRPr="005D74AA" w:rsidRDefault="00CE1229" w:rsidP="0082027D">
      <w:pPr>
        <w:pStyle w:val="Podpisitytu"/>
        <w:rPr>
          <w:lang w:val="en-GB"/>
        </w:rPr>
      </w:pPr>
      <w:r w:rsidRPr="005D74AA">
        <w:rPr>
          <w:lang w:val="en-GB"/>
        </w:rPr>
        <w:t xml:space="preserve">Fig. 1. </w:t>
      </w:r>
      <w:r w:rsidR="006A0CCD" w:rsidRPr="005D74AA">
        <w:rPr>
          <w:lang w:val="en-GB"/>
        </w:rPr>
        <w:t>Chart as high-resolution raster graphic</w:t>
      </w:r>
      <w:r w:rsidR="003440DD" w:rsidRPr="005D74AA">
        <w:rPr>
          <w:lang w:val="en-GB"/>
        </w:rPr>
        <w:t xml:space="preserve">, </w:t>
      </w:r>
      <w:r w:rsidR="002962DC" w:rsidRPr="005D74AA">
        <w:rPr>
          <w:lang w:val="en-GB"/>
        </w:rPr>
        <w:t xml:space="preserve">9 cm wide </w:t>
      </w:r>
      <w:r w:rsidRPr="005D74AA">
        <w:rPr>
          <w:lang w:val="en-GB"/>
        </w:rPr>
        <w:t>[4]</w:t>
      </w:r>
    </w:p>
    <w:p w14:paraId="32C12C4F" w14:textId="7645BFC6" w:rsidR="006A18EB" w:rsidRDefault="006A18EB" w:rsidP="006C6F52"/>
    <w:p w14:paraId="4651861E" w14:textId="2D7BE53D" w:rsidR="00E55C21" w:rsidRDefault="003440DD" w:rsidP="006C6F52">
      <w:r>
        <w:rPr>
          <w:noProof/>
        </w:rPr>
        <w:drawing>
          <wp:inline distT="0" distB="0" distL="0" distR="0" wp14:anchorId="05162F87" wp14:editId="3F2A03C4">
            <wp:extent cx="3238500" cy="2524125"/>
            <wp:effectExtent l="0" t="0" r="0" b="9525"/>
            <wp:docPr id="1556754532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754532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74ABB" w14:textId="769CF403" w:rsidR="002962DC" w:rsidRPr="0082027D" w:rsidRDefault="002962DC" w:rsidP="0082027D">
      <w:pPr>
        <w:pStyle w:val="Podpisitytu"/>
      </w:pPr>
      <w:r w:rsidRPr="0082027D">
        <w:lastRenderedPageBreak/>
        <w:t xml:space="preserve">Rys. 2. Wykres jako grafika </w:t>
      </w:r>
      <w:r w:rsidR="003440DD" w:rsidRPr="0082027D">
        <w:t xml:space="preserve">wektorowa </w:t>
      </w:r>
      <w:r w:rsidRPr="0082027D">
        <w:t xml:space="preserve">szerokość 9 cm </w:t>
      </w:r>
      <w:r w:rsidR="003440DD" w:rsidRPr="0082027D">
        <w:t>(opracowanie własne)</w:t>
      </w:r>
    </w:p>
    <w:p w14:paraId="0E84D2CA" w14:textId="4B7F0CDD" w:rsidR="002962DC" w:rsidRPr="00607F6A" w:rsidRDefault="002962DC" w:rsidP="00607F6A">
      <w:pPr>
        <w:pStyle w:val="Podpisitytu"/>
        <w:rPr>
          <w:lang w:val="en-US"/>
        </w:rPr>
      </w:pPr>
      <w:r w:rsidRPr="005D74AA">
        <w:rPr>
          <w:lang w:val="en-GB"/>
        </w:rPr>
        <w:t xml:space="preserve">Fig. 2. </w:t>
      </w:r>
      <w:r w:rsidR="00CB0F9A" w:rsidRPr="008530BF">
        <w:rPr>
          <w:lang w:val="en-US"/>
        </w:rPr>
        <w:t>Chart as vector graphics, width 9 cm (own study)</w:t>
      </w:r>
    </w:p>
    <w:p w14:paraId="165AE13A" w14:textId="362CE673" w:rsidR="000A201B" w:rsidRPr="006C6F52" w:rsidRDefault="00357C03" w:rsidP="00853A09">
      <w:pPr>
        <w:pStyle w:val="Nagwek2"/>
      </w:pPr>
      <w:r>
        <w:t>Schematy i z</w:t>
      </w:r>
      <w:r w:rsidR="007D4D03">
        <w:t>djęcia</w:t>
      </w:r>
    </w:p>
    <w:p w14:paraId="45CEB20C" w14:textId="77777777" w:rsidR="00E7613E" w:rsidRDefault="00A56871" w:rsidP="00357C03">
      <w:pPr>
        <w:rPr>
          <w:lang w:val="pl-PL"/>
        </w:rPr>
      </w:pPr>
      <w:r w:rsidRPr="006C6F52">
        <w:rPr>
          <w:lang w:val="pl-PL"/>
        </w:rPr>
        <w:t xml:space="preserve">Materiały graficzne </w:t>
      </w:r>
      <w:r w:rsidR="007D4D03">
        <w:rPr>
          <w:lang w:val="pl-PL"/>
        </w:rPr>
        <w:t xml:space="preserve">muszą być wysokiej jakości zapewniającej ich czytelność. </w:t>
      </w:r>
      <w:r w:rsidR="00357C03">
        <w:rPr>
          <w:lang w:val="pl-PL"/>
        </w:rPr>
        <w:t>Zaleca się grafiki w formacie wektorowym (schematy) lub r</w:t>
      </w:r>
      <w:r w:rsidR="00825AFE">
        <w:rPr>
          <w:lang w:val="pl-PL"/>
        </w:rPr>
        <w:t>astrow</w:t>
      </w:r>
      <w:r w:rsidR="00357C03">
        <w:rPr>
          <w:lang w:val="pl-PL"/>
        </w:rPr>
        <w:t xml:space="preserve">ym </w:t>
      </w:r>
      <w:r w:rsidR="008605AA" w:rsidRPr="006C6F52">
        <w:rPr>
          <w:lang w:val="pl-PL"/>
        </w:rPr>
        <w:t>w rozdzielczości minimum 300 dpi</w:t>
      </w:r>
      <w:r w:rsidR="00357C03">
        <w:rPr>
          <w:lang w:val="pl-PL"/>
        </w:rPr>
        <w:t xml:space="preserve"> (zdjęcia)</w:t>
      </w:r>
      <w:r w:rsidR="009F48EE">
        <w:rPr>
          <w:lang w:val="pl-PL"/>
        </w:rPr>
        <w:t xml:space="preserve">, zalecany </w:t>
      </w:r>
      <w:r w:rsidR="009F48EE" w:rsidRPr="00E7613E">
        <w:rPr>
          <w:lang w:val="pl-PL"/>
        </w:rPr>
        <w:t>tryb kolorów CMYK</w:t>
      </w:r>
      <w:r w:rsidR="009F48EE">
        <w:rPr>
          <w:lang w:val="pl-PL"/>
        </w:rPr>
        <w:t>.</w:t>
      </w:r>
    </w:p>
    <w:p w14:paraId="34587CC6" w14:textId="4BA2F646" w:rsidR="00357C03" w:rsidRDefault="00357C03" w:rsidP="00357C03">
      <w:pPr>
        <w:rPr>
          <w:lang w:val="pl-PL"/>
        </w:rPr>
      </w:pPr>
      <w:r>
        <w:rPr>
          <w:lang w:val="pl-PL"/>
        </w:rPr>
        <w:t>Wymagania co do wymiarów, numerowania i podpisów</w:t>
      </w:r>
      <w:r w:rsidR="002D2FF7">
        <w:rPr>
          <w:lang w:val="pl-PL"/>
        </w:rPr>
        <w:t>, opisu źródeł</w:t>
      </w:r>
      <w:r>
        <w:rPr>
          <w:lang w:val="pl-PL"/>
        </w:rPr>
        <w:t xml:space="preserve"> oraz </w:t>
      </w:r>
      <w:r w:rsidR="002D2FF7">
        <w:rPr>
          <w:lang w:val="pl-PL"/>
        </w:rPr>
        <w:t xml:space="preserve">konieczności </w:t>
      </w:r>
      <w:r>
        <w:rPr>
          <w:lang w:val="pl-PL"/>
        </w:rPr>
        <w:t xml:space="preserve">odwołań w tekście artykułu </w:t>
      </w:r>
      <w:r w:rsidR="000C1A31">
        <w:rPr>
          <w:lang w:val="pl-PL"/>
        </w:rPr>
        <w:t xml:space="preserve">takie same </w:t>
      </w:r>
      <w:r>
        <w:rPr>
          <w:lang w:val="pl-PL"/>
        </w:rPr>
        <w:t xml:space="preserve">jak dla wykresów. </w:t>
      </w:r>
    </w:p>
    <w:p w14:paraId="2A8D00CC" w14:textId="14690678" w:rsidR="005D74AA" w:rsidRDefault="005D74AA" w:rsidP="00357C03">
      <w:pPr>
        <w:rPr>
          <w:lang w:val="pl-PL"/>
        </w:rPr>
      </w:pPr>
      <w:r w:rsidRPr="008101CB">
        <w:rPr>
          <w:lang w:val="pl-PL"/>
        </w:rPr>
        <w:t>Zaleca się ponadto przekazanie zdjęć oraz materiałów graficznych jako osobnych plików źródłowych, niezależnie od ich osadzenia w pliku artykułu.</w:t>
      </w:r>
    </w:p>
    <w:p w14:paraId="14CCFDC3" w14:textId="64A1DE14" w:rsidR="00432EA9" w:rsidRDefault="00283308" w:rsidP="00357C03">
      <w:pPr>
        <w:rPr>
          <w:lang w:val="pl-PL"/>
        </w:rPr>
      </w:pPr>
      <w:r w:rsidRPr="008101CB">
        <w:rPr>
          <w:lang w:val="pl-PL"/>
        </w:rPr>
        <w:t>Nie dopuszcza się ilustracji w formie zrzutów ekranu (screenshotów)</w:t>
      </w:r>
      <w:r w:rsidR="004400FA">
        <w:rPr>
          <w:lang w:val="pl-PL"/>
        </w:rPr>
        <w:t xml:space="preserve"> niskiej jakości.</w:t>
      </w:r>
    </w:p>
    <w:p w14:paraId="1BEB45EA" w14:textId="32AB5B31" w:rsidR="00064AF6" w:rsidRDefault="00FF63BF" w:rsidP="00853A09">
      <w:pPr>
        <w:pStyle w:val="Nagwek2"/>
      </w:pPr>
      <w:r>
        <w:t>W</w:t>
      </w:r>
      <w:r w:rsidR="00064AF6">
        <w:t>zory</w:t>
      </w:r>
    </w:p>
    <w:p w14:paraId="75C4D899" w14:textId="6DE313DC" w:rsidR="006107DE" w:rsidRDefault="007C545F" w:rsidP="006107DE">
      <w:pPr>
        <w:rPr>
          <w:lang w:val="pl-PL"/>
        </w:rPr>
      </w:pPr>
      <w:r>
        <w:rPr>
          <w:lang w:val="pl-PL"/>
        </w:rPr>
        <w:t xml:space="preserve">Wzory należy wpisywać z wykorzystaniem edytora równań MS Word. </w:t>
      </w:r>
      <w:r w:rsidR="006107DE">
        <w:rPr>
          <w:lang w:val="pl-PL"/>
        </w:rPr>
        <w:t xml:space="preserve">Nie dopuszcza się </w:t>
      </w:r>
      <w:r w:rsidR="00BE09EF">
        <w:rPr>
          <w:lang w:val="pl-PL"/>
        </w:rPr>
        <w:t xml:space="preserve">wstawiania </w:t>
      </w:r>
      <w:r w:rsidR="006107DE">
        <w:rPr>
          <w:lang w:val="pl-PL"/>
        </w:rPr>
        <w:t xml:space="preserve">wzorów w postaci pliku graficznego. </w:t>
      </w:r>
      <w:r w:rsidR="0084319D">
        <w:rPr>
          <w:lang w:val="pl-PL"/>
        </w:rPr>
        <w:t>Każd</w:t>
      </w:r>
      <w:r w:rsidR="00EC1C0C">
        <w:rPr>
          <w:lang w:val="pl-PL"/>
        </w:rPr>
        <w:t>y wzór m</w:t>
      </w:r>
      <w:r w:rsidR="0084319D">
        <w:rPr>
          <w:lang w:val="pl-PL"/>
        </w:rPr>
        <w:t>usi być ponumerowan</w:t>
      </w:r>
      <w:r w:rsidR="00EC1C0C">
        <w:rPr>
          <w:lang w:val="pl-PL"/>
        </w:rPr>
        <w:t>y</w:t>
      </w:r>
      <w:r w:rsidR="0084319D">
        <w:rPr>
          <w:lang w:val="pl-PL"/>
        </w:rPr>
        <w:t xml:space="preserve"> </w:t>
      </w:r>
      <w:r w:rsidR="00BE09EF">
        <w:rPr>
          <w:lang w:val="pl-PL"/>
        </w:rPr>
        <w:t xml:space="preserve">(1) </w:t>
      </w:r>
      <w:r w:rsidR="0084319D">
        <w:rPr>
          <w:lang w:val="pl-PL"/>
        </w:rPr>
        <w:t xml:space="preserve">i mieć odwołanie w tekście artykułu. Wszystkie </w:t>
      </w:r>
      <w:r w:rsidR="00B057A3">
        <w:rPr>
          <w:lang w:val="pl-PL"/>
        </w:rPr>
        <w:t xml:space="preserve">oznaczenia </w:t>
      </w:r>
      <w:r w:rsidR="0084319D">
        <w:rPr>
          <w:lang w:val="pl-PL"/>
        </w:rPr>
        <w:t xml:space="preserve">we wzorze muszą być wyjaśnione (opisane </w:t>
      </w:r>
      <w:r w:rsidR="0059057D">
        <w:rPr>
          <w:lang w:val="pl-PL"/>
        </w:rPr>
        <w:t xml:space="preserve">pod równaniem </w:t>
      </w:r>
      <w:r w:rsidR="0084319D">
        <w:rPr>
          <w:lang w:val="pl-PL"/>
        </w:rPr>
        <w:t xml:space="preserve">lub </w:t>
      </w:r>
      <w:r w:rsidR="0059057D">
        <w:rPr>
          <w:lang w:val="pl-PL"/>
        </w:rPr>
        <w:t>w zestawieniu symboli)</w:t>
      </w:r>
      <w:r w:rsidR="00B057A3">
        <w:rPr>
          <w:lang w:val="pl-PL"/>
        </w:rPr>
        <w:t xml:space="preserve"> wraz z jednostkami SI</w:t>
      </w:r>
      <w:r w:rsidR="0084319D">
        <w:rPr>
          <w:lang w:val="pl-PL"/>
        </w:rPr>
        <w:t>.</w:t>
      </w:r>
    </w:p>
    <w:p w14:paraId="6EEC570B" w14:textId="29C02F7C" w:rsidR="00BE09EF" w:rsidRDefault="00654641" w:rsidP="00654641">
      <w:pPr>
        <w:tabs>
          <w:tab w:val="center" w:pos="4536"/>
          <w:tab w:val="right" w:pos="9071"/>
        </w:tabs>
        <w:jc w:val="center"/>
        <w:rPr>
          <w:lang w:val="pl-PL"/>
        </w:rPr>
      </w:pPr>
      <w:r>
        <w:rPr>
          <w:lang w:val="pl-PL"/>
        </w:rPr>
        <w:tab/>
      </w:r>
      <m:oMath>
        <m:r>
          <w:rPr>
            <w:rFonts w:ascii="Cambria Math" w:hAnsi="Cambria Math"/>
            <w:lang w:val="pl-PL"/>
          </w:rPr>
          <m:t>Q=m∙cp∙∆T</m:t>
        </m:r>
      </m:oMath>
      <w:r>
        <w:rPr>
          <w:lang w:val="pl-PL"/>
        </w:rPr>
        <w:tab/>
      </w:r>
      <w:r w:rsidR="0013160E">
        <w:rPr>
          <w:lang w:val="pl-PL"/>
        </w:rPr>
        <w:t>(1)</w:t>
      </w:r>
    </w:p>
    <w:p w14:paraId="2C985255" w14:textId="0A5CE9E3" w:rsidR="00AA5A5F" w:rsidRPr="00AA5A5F" w:rsidRDefault="00B45F05" w:rsidP="00AA5A5F">
      <w:pPr>
        <w:rPr>
          <w:lang w:val="pl-PL"/>
        </w:rPr>
      </w:pPr>
      <w:r>
        <w:rPr>
          <w:lang w:val="pl-PL"/>
        </w:rPr>
        <w:t xml:space="preserve">gdzie: </w:t>
      </w:r>
    </w:p>
    <w:p w14:paraId="6A9B54F4" w14:textId="4638DDAF" w:rsidR="00AA5A5F" w:rsidRPr="00AA5A5F" w:rsidRDefault="00AA5A5F" w:rsidP="00AA5A5F">
      <w:pPr>
        <w:rPr>
          <w:lang w:val="pl-PL"/>
        </w:rPr>
      </w:pPr>
      <w:r w:rsidRPr="00AA5A5F">
        <w:rPr>
          <w:lang w:val="pl-PL"/>
        </w:rPr>
        <w:t xml:space="preserve">Q – </w:t>
      </w:r>
      <w:r>
        <w:rPr>
          <w:lang w:val="pl-PL"/>
        </w:rPr>
        <w:t>moc</w:t>
      </w:r>
      <w:r w:rsidRPr="00AA5A5F">
        <w:rPr>
          <w:lang w:val="pl-PL"/>
        </w:rPr>
        <w:t xml:space="preserve"> cieplna</w:t>
      </w:r>
      <w:r w:rsidR="00C67E6B">
        <w:rPr>
          <w:lang w:val="pl-PL"/>
        </w:rPr>
        <w:t xml:space="preserve">, </w:t>
      </w:r>
      <w:r>
        <w:rPr>
          <w:lang w:val="pl-PL"/>
        </w:rPr>
        <w:t>kW</w:t>
      </w:r>
    </w:p>
    <w:p w14:paraId="6416F8D1" w14:textId="506DB1FF" w:rsidR="00AA5A5F" w:rsidRPr="00AA5A5F" w:rsidRDefault="00AA5A5F" w:rsidP="00AA5A5F">
      <w:pPr>
        <w:rPr>
          <w:lang w:val="pl-PL"/>
        </w:rPr>
      </w:pPr>
      <w:r w:rsidRPr="00AA5A5F">
        <w:rPr>
          <w:lang w:val="pl-PL"/>
        </w:rPr>
        <w:t xml:space="preserve">m – </w:t>
      </w:r>
      <w:r>
        <w:rPr>
          <w:lang w:val="pl-PL"/>
        </w:rPr>
        <w:t>strumień masowy</w:t>
      </w:r>
      <w:r w:rsidR="00C67E6B">
        <w:rPr>
          <w:lang w:val="pl-PL"/>
        </w:rPr>
        <w:t>,</w:t>
      </w:r>
      <w:r>
        <w:rPr>
          <w:lang w:val="pl-PL"/>
        </w:rPr>
        <w:t xml:space="preserve"> kg/s</w:t>
      </w:r>
    </w:p>
    <w:p w14:paraId="60546482" w14:textId="78171F9B" w:rsidR="00AA5A5F" w:rsidRPr="00AA5A5F" w:rsidRDefault="00AA5A5F" w:rsidP="00AA5A5F">
      <w:pPr>
        <w:rPr>
          <w:lang w:val="pl-PL"/>
        </w:rPr>
      </w:pPr>
      <w:r w:rsidRPr="00AA5A5F">
        <w:rPr>
          <w:lang w:val="pl-PL"/>
        </w:rPr>
        <w:t>cp – ciepło właściwe</w:t>
      </w:r>
      <w:r w:rsidR="00C67E6B">
        <w:rPr>
          <w:lang w:val="pl-PL"/>
        </w:rPr>
        <w:t>,</w:t>
      </w:r>
      <w:r>
        <w:rPr>
          <w:lang w:val="pl-PL"/>
        </w:rPr>
        <w:t xml:space="preserve"> kJ/kg</w:t>
      </w:r>
      <w:r w:rsidR="00C67E6B">
        <w:rPr>
          <w:rFonts w:cs="Times New Roman"/>
          <w:lang w:val="pl-PL"/>
        </w:rPr>
        <w:t>‧</w:t>
      </w:r>
      <w:r>
        <w:rPr>
          <w:lang w:val="pl-PL"/>
        </w:rPr>
        <w:t>K</w:t>
      </w:r>
    </w:p>
    <w:p w14:paraId="33359B27" w14:textId="6E7D9D12" w:rsidR="00B45F05" w:rsidRDefault="00AA5A5F" w:rsidP="00AA5A5F">
      <w:pPr>
        <w:rPr>
          <w:lang w:val="pl-PL"/>
        </w:rPr>
      </w:pPr>
      <w:r w:rsidRPr="00AA5A5F">
        <w:rPr>
          <w:lang w:val="pl-PL"/>
        </w:rPr>
        <w:t>ΔT – różnica temperatur</w:t>
      </w:r>
      <w:r w:rsidR="00C67E6B">
        <w:rPr>
          <w:lang w:val="pl-PL"/>
        </w:rPr>
        <w:t>, K</w:t>
      </w:r>
    </w:p>
    <w:p w14:paraId="460E7FD4" w14:textId="0FD06D88" w:rsidR="00F41316" w:rsidRPr="00853A09" w:rsidRDefault="00F41316" w:rsidP="00853A09">
      <w:pPr>
        <w:pStyle w:val="Nagwek2"/>
      </w:pPr>
      <w:r w:rsidRPr="00853A09">
        <w:t>Jednostki</w:t>
      </w:r>
      <w:r w:rsidR="00B24EB8" w:rsidRPr="00853A09">
        <w:t xml:space="preserve"> i symbole</w:t>
      </w:r>
    </w:p>
    <w:p w14:paraId="70D13351" w14:textId="748D7975" w:rsidR="00B24EB8" w:rsidRPr="00F41316" w:rsidRDefault="000E63E5" w:rsidP="00F41316">
      <w:pPr>
        <w:rPr>
          <w:lang w:val="pl-PL"/>
        </w:rPr>
      </w:pPr>
      <w:r>
        <w:rPr>
          <w:lang w:val="pl-PL"/>
        </w:rPr>
        <w:t>Jednostki w tekście należy zapisywać zgodnie z wytycznymi językowymi np. 300</w:t>
      </w:r>
      <w:r w:rsidR="00853A09">
        <w:rPr>
          <w:rFonts w:ascii="Calibri" w:hAnsi="Calibri" w:cs="Calibri"/>
          <w:lang w:val="pl-PL"/>
        </w:rPr>
        <w:t>°</w:t>
      </w:r>
      <w:r>
        <w:rPr>
          <w:lang w:val="pl-PL"/>
        </w:rPr>
        <w:t xml:space="preserve">C, 12 mm, 45 kWh. </w:t>
      </w:r>
      <w:r w:rsidR="00853A09">
        <w:rPr>
          <w:lang w:val="pl-PL"/>
        </w:rPr>
        <w:t xml:space="preserve">W opisie wzorów oraz </w:t>
      </w:r>
      <w:r w:rsidR="008E1EF0">
        <w:rPr>
          <w:lang w:val="pl-PL"/>
        </w:rPr>
        <w:t xml:space="preserve">osi wykresów jednostki należy podawać po przecinku (patrz wzór (1) i wykres na rys. 2). </w:t>
      </w:r>
      <w:r>
        <w:rPr>
          <w:lang w:val="pl-PL"/>
        </w:rPr>
        <w:t xml:space="preserve">W tabelach jednostki należy zapisywać w nawiasach kwadratowych </w:t>
      </w:r>
      <w:r w:rsidR="008E1EF0">
        <w:rPr>
          <w:lang w:val="pl-PL"/>
        </w:rPr>
        <w:t>(patrz tabela 1 i 2)</w:t>
      </w:r>
      <w:r w:rsidR="00B24EB8">
        <w:rPr>
          <w:lang w:val="pl-PL"/>
        </w:rPr>
        <w:t xml:space="preserve">. </w:t>
      </w:r>
      <w:r w:rsidR="00B24EB8" w:rsidRPr="00B24EB8">
        <w:rPr>
          <w:lang w:val="pl-PL"/>
        </w:rPr>
        <w:t xml:space="preserve">Obowiązuje układ SI jednostek miar. </w:t>
      </w:r>
      <w:r w:rsidR="00B24EB8">
        <w:rPr>
          <w:lang w:val="pl-PL"/>
        </w:rPr>
        <w:t>Należy stosować s</w:t>
      </w:r>
      <w:r w:rsidR="00B24EB8" w:rsidRPr="00B24EB8">
        <w:rPr>
          <w:lang w:val="pl-PL"/>
        </w:rPr>
        <w:t>ymbole, indeksy i oznaczenia wielkości fizycznych zgodne z obowiązującymi normami.</w:t>
      </w:r>
    </w:p>
    <w:p w14:paraId="79323096" w14:textId="6491BD0D" w:rsidR="00EC1C0C" w:rsidRDefault="00BB2EDF" w:rsidP="00853A09">
      <w:pPr>
        <w:pStyle w:val="Nagwek2"/>
      </w:pPr>
      <w:r>
        <w:t>Cytowania i b</w:t>
      </w:r>
      <w:r w:rsidR="00A56871" w:rsidRPr="006C6F52">
        <w:t>ibliografia</w:t>
      </w:r>
    </w:p>
    <w:p w14:paraId="0B9A3E5B" w14:textId="2C63C981" w:rsidR="00A56871" w:rsidRDefault="00BF1091" w:rsidP="006C6F52">
      <w:pPr>
        <w:rPr>
          <w:lang w:val="pl-PL"/>
        </w:rPr>
      </w:pPr>
      <w:r>
        <w:rPr>
          <w:lang w:val="pl-PL"/>
        </w:rPr>
        <w:t>Cytowania</w:t>
      </w:r>
      <w:r w:rsidR="00A56871" w:rsidRPr="006C6F52">
        <w:rPr>
          <w:lang w:val="pl-PL"/>
        </w:rPr>
        <w:t xml:space="preserve"> </w:t>
      </w:r>
      <w:r>
        <w:rPr>
          <w:lang w:val="pl-PL"/>
        </w:rPr>
        <w:t xml:space="preserve">w formie [9] lub [5-8]. </w:t>
      </w:r>
      <w:r w:rsidR="00A56871" w:rsidRPr="006C6F52">
        <w:rPr>
          <w:lang w:val="pl-PL"/>
        </w:rPr>
        <w:t xml:space="preserve">Wykaz literatury </w:t>
      </w:r>
      <w:r>
        <w:rPr>
          <w:lang w:val="pl-PL"/>
        </w:rPr>
        <w:t>w kolejności pojawiania się cytowań w</w:t>
      </w:r>
      <w:r w:rsidR="005D74AA">
        <w:rPr>
          <w:lang w:val="pl-PL"/>
        </w:rPr>
        <w:t> </w:t>
      </w:r>
      <w:r>
        <w:rPr>
          <w:lang w:val="pl-PL"/>
        </w:rPr>
        <w:t>artykule</w:t>
      </w:r>
      <w:r w:rsidR="00A56871" w:rsidRPr="006C6F52">
        <w:rPr>
          <w:lang w:val="pl-PL"/>
        </w:rPr>
        <w:t xml:space="preserve">. </w:t>
      </w:r>
      <w:r>
        <w:rPr>
          <w:lang w:val="pl-PL"/>
        </w:rPr>
        <w:t>W bibliografii p</w:t>
      </w:r>
      <w:r w:rsidR="00A56871" w:rsidRPr="006C6F52">
        <w:rPr>
          <w:lang w:val="pl-PL"/>
        </w:rPr>
        <w:t>ozycj</w:t>
      </w:r>
      <w:r>
        <w:rPr>
          <w:lang w:val="pl-PL"/>
        </w:rPr>
        <w:t>e</w:t>
      </w:r>
      <w:r w:rsidR="00A56871" w:rsidRPr="006C6F52">
        <w:rPr>
          <w:lang w:val="pl-PL"/>
        </w:rPr>
        <w:t xml:space="preserve"> bibliograficzn</w:t>
      </w:r>
      <w:r>
        <w:rPr>
          <w:lang w:val="pl-PL"/>
        </w:rPr>
        <w:t>e</w:t>
      </w:r>
      <w:r w:rsidR="00A56871" w:rsidRPr="006C6F52">
        <w:rPr>
          <w:lang w:val="pl-PL"/>
        </w:rPr>
        <w:t xml:space="preserve"> </w:t>
      </w:r>
      <w:r>
        <w:rPr>
          <w:lang w:val="pl-PL"/>
        </w:rPr>
        <w:t xml:space="preserve">muszą </w:t>
      </w:r>
      <w:r w:rsidR="00A56871" w:rsidRPr="006C6F52">
        <w:rPr>
          <w:lang w:val="pl-PL"/>
        </w:rPr>
        <w:t>zawierać pełne dane zgodne z</w:t>
      </w:r>
      <w:r>
        <w:rPr>
          <w:lang w:val="pl-PL"/>
        </w:rPr>
        <w:t xml:space="preserve">e </w:t>
      </w:r>
      <w:r>
        <w:rPr>
          <w:lang w:val="pl-PL"/>
        </w:rPr>
        <w:lastRenderedPageBreak/>
        <w:t>standardem</w:t>
      </w:r>
      <w:r w:rsidR="00A56871" w:rsidRPr="006C6F52">
        <w:rPr>
          <w:lang w:val="pl-PL"/>
        </w:rPr>
        <w:t xml:space="preserve"> APA: nazwiska i inicjały imion autorów, rok wydania (w nawiasie), tytuł pracy, tytuł źródła (czasopisma lub książki), tom, numer zeszytu (jeśli dotyczy), zakres stron oraz identyfikator DOI lub adres URL (jeśli dostępny). </w:t>
      </w:r>
      <w:r w:rsidR="008101CB">
        <w:rPr>
          <w:lang w:val="pl-PL"/>
        </w:rPr>
        <w:t>Wz</w:t>
      </w:r>
      <w:r w:rsidR="00894FD8">
        <w:rPr>
          <w:lang w:val="pl-PL"/>
        </w:rPr>
        <w:t>ór zapisu zestawiono w punkcie „Bibliografia”.</w:t>
      </w:r>
    </w:p>
    <w:p w14:paraId="157101B0" w14:textId="07EA13F7" w:rsidR="00BB2EDF" w:rsidRPr="006C6F52" w:rsidRDefault="00BB2EDF" w:rsidP="006C6F52">
      <w:pPr>
        <w:rPr>
          <w:lang w:val="pl-PL"/>
        </w:rPr>
      </w:pPr>
      <w:r w:rsidRPr="00BB2EDF">
        <w:rPr>
          <w:lang w:val="pl-PL"/>
        </w:rPr>
        <w:t xml:space="preserve">Wszystkie pozycje </w:t>
      </w:r>
      <w:r>
        <w:rPr>
          <w:lang w:val="pl-PL"/>
        </w:rPr>
        <w:t xml:space="preserve">bibliografii </w:t>
      </w:r>
      <w:r w:rsidRPr="00BB2EDF">
        <w:rPr>
          <w:lang w:val="pl-PL"/>
        </w:rPr>
        <w:t>muszą być przywoływane w tekście</w:t>
      </w:r>
      <w:r>
        <w:rPr>
          <w:lang w:val="pl-PL"/>
        </w:rPr>
        <w:t>.</w:t>
      </w:r>
    </w:p>
    <w:p w14:paraId="128DDB82" w14:textId="77777777" w:rsidR="000A71C1" w:rsidRPr="006C6F52" w:rsidRDefault="000A71C1" w:rsidP="00710861">
      <w:pPr>
        <w:rPr>
          <w:b/>
          <w:lang w:val="pl-PL"/>
        </w:rPr>
      </w:pPr>
    </w:p>
    <w:p w14:paraId="497CC9D8" w14:textId="77777777" w:rsidR="00A60A58" w:rsidRDefault="000A71C1" w:rsidP="00607F6A">
      <w:pPr>
        <w:pStyle w:val="Nagwek1"/>
      </w:pPr>
      <w:r w:rsidRPr="006C6F52">
        <w:t>Bibliografia</w:t>
      </w:r>
      <w:r w:rsidR="004E5210">
        <w:t xml:space="preserve"> </w:t>
      </w:r>
    </w:p>
    <w:p w14:paraId="0D9B1EDF" w14:textId="35B7D848" w:rsidR="002771F1" w:rsidRPr="00CF287D" w:rsidRDefault="000A71C1" w:rsidP="00BB2EDF">
      <w:pPr>
        <w:pStyle w:val="Akapitzlist"/>
        <w:numPr>
          <w:ilvl w:val="0"/>
          <w:numId w:val="11"/>
        </w:numPr>
        <w:ind w:left="426" w:hanging="426"/>
        <w:rPr>
          <w:lang w:val="pl-PL"/>
        </w:rPr>
      </w:pPr>
      <w:r w:rsidRPr="00CF287D">
        <w:rPr>
          <w:lang w:val="pl-PL"/>
        </w:rPr>
        <w:t xml:space="preserve">Kowalski, J. (2021). Tytuł artykułu. </w:t>
      </w:r>
      <w:r w:rsidRPr="006C01F1">
        <w:rPr>
          <w:i/>
          <w:iCs/>
          <w:lang w:val="pl-PL"/>
        </w:rPr>
        <w:t>Tytuł Czasopisma,</w:t>
      </w:r>
      <w:r w:rsidRPr="00CF287D">
        <w:rPr>
          <w:lang w:val="pl-PL"/>
        </w:rPr>
        <w:t xml:space="preserve"> 12(3), 45–60. </w:t>
      </w:r>
      <w:hyperlink r:id="rId11" w:history="1">
        <w:r w:rsidR="00A56871" w:rsidRPr="00CF287D">
          <w:rPr>
            <w:rStyle w:val="Hipercze"/>
            <w:lang w:val="pl-PL"/>
          </w:rPr>
          <w:t>https://doi.org/xxxx</w:t>
        </w:r>
      </w:hyperlink>
    </w:p>
    <w:p w14:paraId="7A4C9BD2" w14:textId="77777777" w:rsidR="00A56871" w:rsidRPr="00955A97" w:rsidRDefault="00A56871" w:rsidP="00BB2EDF">
      <w:pPr>
        <w:pStyle w:val="Akapitzlist"/>
        <w:numPr>
          <w:ilvl w:val="0"/>
          <w:numId w:val="11"/>
        </w:numPr>
        <w:ind w:left="426" w:hanging="426"/>
      </w:pPr>
      <w:r w:rsidRPr="00CF287D">
        <w:rPr>
          <w:lang w:val="pl-PL"/>
        </w:rPr>
        <w:t xml:space="preserve">Kowalski, J., &amp; Nowak, A. (2021). Analiza efektywności energetycznej systemów wentylacji. </w:t>
      </w:r>
      <w:r w:rsidRPr="006C01F1">
        <w:rPr>
          <w:i/>
          <w:iCs/>
        </w:rPr>
        <w:t>Journal of Building Engineering</w:t>
      </w:r>
      <w:r w:rsidRPr="00955A97">
        <w:t>, 45(3), 101–115. https://doi.org/10.1016/j.jobe.2021.103456</w:t>
      </w:r>
    </w:p>
    <w:p w14:paraId="32D0E61D" w14:textId="77777777" w:rsidR="00A56871" w:rsidRPr="00955A97" w:rsidRDefault="00A56871" w:rsidP="00BB2EDF">
      <w:pPr>
        <w:pStyle w:val="Akapitzlist"/>
        <w:numPr>
          <w:ilvl w:val="0"/>
          <w:numId w:val="11"/>
        </w:numPr>
        <w:ind w:left="426" w:hanging="426"/>
      </w:pPr>
      <w:r w:rsidRPr="00B11FF7">
        <w:rPr>
          <w:lang w:val="pl-PL"/>
        </w:rPr>
        <w:t xml:space="preserve">Wiśniewski, P. (2019). </w:t>
      </w:r>
      <w:r w:rsidRPr="00CF287D">
        <w:rPr>
          <w:lang w:val="pl-PL"/>
        </w:rPr>
        <w:t xml:space="preserve">Wentylacja wyporowa w pomieszczeniach czystych. </w:t>
      </w:r>
      <w:r w:rsidRPr="006C01F1">
        <w:rPr>
          <w:i/>
          <w:iCs/>
        </w:rPr>
        <w:t xml:space="preserve">Ciepłownictwo, Ogrzewnictwo, Wentylacja, </w:t>
      </w:r>
      <w:r w:rsidRPr="00955A97">
        <w:t>50(7), 28–34.</w:t>
      </w:r>
    </w:p>
    <w:p w14:paraId="46ABB269" w14:textId="77777777" w:rsidR="00A56871" w:rsidRPr="00955A97" w:rsidRDefault="00A56871" w:rsidP="00BB2EDF">
      <w:pPr>
        <w:pStyle w:val="Akapitzlist"/>
        <w:numPr>
          <w:ilvl w:val="0"/>
          <w:numId w:val="11"/>
        </w:numPr>
        <w:ind w:left="426" w:hanging="426"/>
      </w:pPr>
      <w:r w:rsidRPr="00955A97">
        <w:t xml:space="preserve">Smith, R. (2020). </w:t>
      </w:r>
      <w:r w:rsidRPr="006C01F1">
        <w:rPr>
          <w:i/>
          <w:iCs/>
        </w:rPr>
        <w:t>HVAC systems design handbook</w:t>
      </w:r>
      <w:r w:rsidRPr="00955A97">
        <w:t>. Springer.</w:t>
      </w:r>
    </w:p>
    <w:p w14:paraId="4DC01375" w14:textId="77777777" w:rsidR="00A56871" w:rsidRPr="006C01F1" w:rsidRDefault="00A56871" w:rsidP="00BB2EDF">
      <w:pPr>
        <w:pStyle w:val="Akapitzlist"/>
        <w:numPr>
          <w:ilvl w:val="0"/>
          <w:numId w:val="11"/>
        </w:numPr>
        <w:ind w:left="426" w:hanging="426"/>
      </w:pPr>
      <w:r w:rsidRPr="006C01F1">
        <w:t xml:space="preserve">Awbi, H. B., &amp; Hatton, A. (2018). </w:t>
      </w:r>
      <w:r w:rsidRPr="006C01F1">
        <w:rPr>
          <w:i/>
          <w:iCs/>
        </w:rPr>
        <w:t>Indoor air quality and ventilation. Routledge</w:t>
      </w:r>
      <w:r w:rsidRPr="006C01F1">
        <w:t>.</w:t>
      </w:r>
    </w:p>
    <w:p w14:paraId="64F58A9A" w14:textId="77777777" w:rsidR="00A56871" w:rsidRPr="00CF287D" w:rsidRDefault="00A56871" w:rsidP="00BB2EDF">
      <w:pPr>
        <w:pStyle w:val="Akapitzlist"/>
        <w:numPr>
          <w:ilvl w:val="0"/>
          <w:numId w:val="11"/>
        </w:numPr>
        <w:ind w:left="426" w:hanging="426"/>
        <w:rPr>
          <w:lang w:val="pl-PL"/>
        </w:rPr>
      </w:pPr>
      <w:r w:rsidRPr="00955A97">
        <w:t xml:space="preserve">Müller, T. (2017). Airflow patterns in operating rooms. W: J. Novak &amp; L. Green (red.), </w:t>
      </w:r>
      <w:r w:rsidRPr="006C01F1">
        <w:rPr>
          <w:i/>
          <w:iCs/>
        </w:rPr>
        <w:t>Ventilation in healthcare buildings</w:t>
      </w:r>
      <w:r w:rsidRPr="00955A97">
        <w:t xml:space="preserve"> (s. 85–112). </w:t>
      </w:r>
      <w:r w:rsidRPr="00CF287D">
        <w:rPr>
          <w:lang w:val="pl-PL"/>
        </w:rPr>
        <w:t>Elsevier.</w:t>
      </w:r>
    </w:p>
    <w:p w14:paraId="38675014" w14:textId="77777777" w:rsidR="00A56871" w:rsidRPr="00955A97" w:rsidRDefault="00A56871" w:rsidP="00BB2EDF">
      <w:pPr>
        <w:pStyle w:val="Akapitzlist"/>
        <w:numPr>
          <w:ilvl w:val="0"/>
          <w:numId w:val="11"/>
        </w:numPr>
        <w:ind w:left="426" w:hanging="426"/>
      </w:pPr>
      <w:r w:rsidRPr="00CF287D">
        <w:rPr>
          <w:lang w:val="pl-PL"/>
        </w:rPr>
        <w:t xml:space="preserve">PN-EN 16798-1:2019-06. (2019). Energetyczne właściwości użytkowe budynków – Wentylacja budynków – Część 1: Parametry środowiska wewnętrznego. </w:t>
      </w:r>
      <w:r w:rsidRPr="00955A97">
        <w:t>Polski Komitet Normalizacyjny.</w:t>
      </w:r>
    </w:p>
    <w:p w14:paraId="29161F49" w14:textId="77777777" w:rsidR="00A56871" w:rsidRPr="00955A97" w:rsidRDefault="00A56871" w:rsidP="00BB2EDF">
      <w:pPr>
        <w:pStyle w:val="Akapitzlist"/>
        <w:numPr>
          <w:ilvl w:val="0"/>
          <w:numId w:val="11"/>
        </w:numPr>
        <w:ind w:left="426" w:hanging="426"/>
      </w:pPr>
      <w:r w:rsidRPr="00955A97">
        <w:t xml:space="preserve">REHVA. (2022). </w:t>
      </w:r>
      <w:r w:rsidRPr="001537FE">
        <w:rPr>
          <w:i/>
          <w:iCs/>
        </w:rPr>
        <w:t>Guidelines on ventilation of operating theatres</w:t>
      </w:r>
      <w:r w:rsidRPr="00955A97">
        <w:t>. Federation of European Heating, Ventilation and Air Conditioning Associations.</w:t>
      </w:r>
    </w:p>
    <w:p w14:paraId="024D2A95" w14:textId="77777777" w:rsidR="00A56871" w:rsidRPr="00955A97" w:rsidRDefault="00A56871" w:rsidP="00BB2EDF">
      <w:pPr>
        <w:pStyle w:val="Akapitzlist"/>
        <w:numPr>
          <w:ilvl w:val="0"/>
          <w:numId w:val="11"/>
        </w:numPr>
        <w:ind w:left="426" w:hanging="426"/>
      </w:pPr>
      <w:r w:rsidRPr="00955A97">
        <w:t xml:space="preserve">Nowak, M., &amp; Zieliński, K. (2020). Analysis of airflow stability in surgical rooms. W: </w:t>
      </w:r>
      <w:r w:rsidRPr="001537FE">
        <w:rPr>
          <w:i/>
          <w:iCs/>
        </w:rPr>
        <w:t>Proceedings of the 13th International Conference on Indoor Air Quality</w:t>
      </w:r>
      <w:r w:rsidRPr="00955A97">
        <w:t xml:space="preserve"> (s. 233–240). IAQ Press.</w:t>
      </w:r>
    </w:p>
    <w:p w14:paraId="3719E6F1" w14:textId="77777777" w:rsidR="00A56871" w:rsidRPr="00955A97" w:rsidRDefault="00A56871" w:rsidP="00BB2EDF">
      <w:pPr>
        <w:pStyle w:val="Akapitzlist"/>
        <w:numPr>
          <w:ilvl w:val="0"/>
          <w:numId w:val="11"/>
        </w:numPr>
        <w:ind w:left="426" w:hanging="426"/>
      </w:pPr>
      <w:r w:rsidRPr="00955A97">
        <w:t>World Health Organization. (2021).</w:t>
      </w:r>
      <w:r w:rsidRPr="001537FE">
        <w:rPr>
          <w:i/>
          <w:iCs/>
        </w:rPr>
        <w:t xml:space="preserve"> Roadmap to improve indoor air quality. </w:t>
      </w:r>
      <w:r w:rsidRPr="00955A97">
        <w:t>https://www.who.int/publications/i/item/9789240021280</w:t>
      </w:r>
    </w:p>
    <w:p w14:paraId="13805A05" w14:textId="523A799B" w:rsidR="00A56871" w:rsidRPr="00955A97" w:rsidRDefault="00A56871" w:rsidP="00BB2EDF">
      <w:pPr>
        <w:pStyle w:val="Akapitzlist"/>
        <w:numPr>
          <w:ilvl w:val="0"/>
          <w:numId w:val="11"/>
        </w:numPr>
        <w:ind w:left="426" w:hanging="426"/>
      </w:pPr>
      <w:r w:rsidRPr="00955A97">
        <w:t xml:space="preserve">ASHRAE. (b.d.). </w:t>
      </w:r>
      <w:r w:rsidRPr="001537FE">
        <w:rPr>
          <w:i/>
          <w:iCs/>
        </w:rPr>
        <w:t>Standards and guidelines</w:t>
      </w:r>
      <w:r w:rsidRPr="00955A97">
        <w:t>. https://www.ashrae.org/technical-resources/standards-and-guidelines</w:t>
      </w:r>
    </w:p>
    <w:sectPr w:rsidR="00A56871" w:rsidRPr="00955A97" w:rsidSect="0073759D">
      <w:footerReference w:type="default" r:id="rId12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7C776" w14:textId="77777777" w:rsidR="000E3ED9" w:rsidRDefault="000E3ED9" w:rsidP="00AC454A">
      <w:pPr>
        <w:spacing w:line="240" w:lineRule="auto"/>
      </w:pPr>
      <w:r>
        <w:separator/>
      </w:r>
    </w:p>
  </w:endnote>
  <w:endnote w:type="continuationSeparator" w:id="0">
    <w:p w14:paraId="0130F0CE" w14:textId="77777777" w:rsidR="000E3ED9" w:rsidRDefault="000E3ED9" w:rsidP="00AC4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3376507"/>
      <w:docPartObj>
        <w:docPartGallery w:val="Page Numbers (Bottom of Page)"/>
        <w:docPartUnique/>
      </w:docPartObj>
    </w:sdtPr>
    <w:sdtContent>
      <w:p w14:paraId="0E25129F" w14:textId="05F98043" w:rsidR="00AC454A" w:rsidRDefault="00AC454A" w:rsidP="00AC45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359E7" w14:textId="77777777" w:rsidR="000E3ED9" w:rsidRDefault="000E3ED9" w:rsidP="00AC454A">
      <w:pPr>
        <w:spacing w:line="240" w:lineRule="auto"/>
      </w:pPr>
      <w:r>
        <w:separator/>
      </w:r>
    </w:p>
  </w:footnote>
  <w:footnote w:type="continuationSeparator" w:id="0">
    <w:p w14:paraId="6FBB6CF3" w14:textId="77777777" w:rsidR="000E3ED9" w:rsidRDefault="000E3ED9" w:rsidP="00AC45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970F9D"/>
    <w:multiLevelType w:val="hybridMultilevel"/>
    <w:tmpl w:val="429A7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C45BD"/>
    <w:multiLevelType w:val="hybridMultilevel"/>
    <w:tmpl w:val="283876F6"/>
    <w:lvl w:ilvl="0" w:tplc="D9702AD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FE3886"/>
    <w:multiLevelType w:val="multilevel"/>
    <w:tmpl w:val="FA90121A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 w16cid:durableId="479856519">
    <w:abstractNumId w:val="8"/>
  </w:num>
  <w:num w:numId="2" w16cid:durableId="831796819">
    <w:abstractNumId w:val="6"/>
  </w:num>
  <w:num w:numId="3" w16cid:durableId="539558552">
    <w:abstractNumId w:val="5"/>
  </w:num>
  <w:num w:numId="4" w16cid:durableId="190649716">
    <w:abstractNumId w:val="4"/>
  </w:num>
  <w:num w:numId="5" w16cid:durableId="1876119676">
    <w:abstractNumId w:val="7"/>
  </w:num>
  <w:num w:numId="6" w16cid:durableId="1872381966">
    <w:abstractNumId w:val="3"/>
  </w:num>
  <w:num w:numId="7" w16cid:durableId="2138986952">
    <w:abstractNumId w:val="2"/>
  </w:num>
  <w:num w:numId="8" w16cid:durableId="438447719">
    <w:abstractNumId w:val="1"/>
  </w:num>
  <w:num w:numId="9" w16cid:durableId="1048459232">
    <w:abstractNumId w:val="0"/>
  </w:num>
  <w:num w:numId="10" w16cid:durableId="1060252106">
    <w:abstractNumId w:val="11"/>
  </w:num>
  <w:num w:numId="11" w16cid:durableId="803355333">
    <w:abstractNumId w:val="10"/>
  </w:num>
  <w:num w:numId="12" w16cid:durableId="19935621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IwMDU2M7C0sDQ2MLRQ0lEKTi0uzszPAykwrAUAdUAhXCwAAAA="/>
  </w:docVars>
  <w:rsids>
    <w:rsidRoot w:val="00B47730"/>
    <w:rsid w:val="000014AD"/>
    <w:rsid w:val="00004C76"/>
    <w:rsid w:val="00004E2A"/>
    <w:rsid w:val="00021D97"/>
    <w:rsid w:val="00025F0A"/>
    <w:rsid w:val="00034616"/>
    <w:rsid w:val="00043AF8"/>
    <w:rsid w:val="0006063C"/>
    <w:rsid w:val="00064AF6"/>
    <w:rsid w:val="00084C6D"/>
    <w:rsid w:val="000A201B"/>
    <w:rsid w:val="000A5954"/>
    <w:rsid w:val="000A71C1"/>
    <w:rsid w:val="000B098D"/>
    <w:rsid w:val="000B78C8"/>
    <w:rsid w:val="000C1465"/>
    <w:rsid w:val="000C1A31"/>
    <w:rsid w:val="000C5ADF"/>
    <w:rsid w:val="000D09A4"/>
    <w:rsid w:val="000D471E"/>
    <w:rsid w:val="000E2D67"/>
    <w:rsid w:val="000E3ED9"/>
    <w:rsid w:val="000E63E5"/>
    <w:rsid w:val="00103463"/>
    <w:rsid w:val="0013160E"/>
    <w:rsid w:val="001367DA"/>
    <w:rsid w:val="00136CD3"/>
    <w:rsid w:val="0015074B"/>
    <w:rsid w:val="001537FE"/>
    <w:rsid w:val="00161718"/>
    <w:rsid w:val="0017067B"/>
    <w:rsid w:val="0017312F"/>
    <w:rsid w:val="00175F54"/>
    <w:rsid w:val="00183B0D"/>
    <w:rsid w:val="0019185C"/>
    <w:rsid w:val="00193208"/>
    <w:rsid w:val="001A0144"/>
    <w:rsid w:val="001C2360"/>
    <w:rsid w:val="001C3F80"/>
    <w:rsid w:val="001E6AAF"/>
    <w:rsid w:val="001F1424"/>
    <w:rsid w:val="001F3CCE"/>
    <w:rsid w:val="00241A77"/>
    <w:rsid w:val="00244225"/>
    <w:rsid w:val="002771F1"/>
    <w:rsid w:val="00283308"/>
    <w:rsid w:val="00283D64"/>
    <w:rsid w:val="002962DC"/>
    <w:rsid w:val="0029639D"/>
    <w:rsid w:val="002A562B"/>
    <w:rsid w:val="002B2207"/>
    <w:rsid w:val="002B683D"/>
    <w:rsid w:val="002D2FF7"/>
    <w:rsid w:val="002F6253"/>
    <w:rsid w:val="0030288D"/>
    <w:rsid w:val="00304CF5"/>
    <w:rsid w:val="00313DDB"/>
    <w:rsid w:val="0032574E"/>
    <w:rsid w:val="00326F90"/>
    <w:rsid w:val="00336053"/>
    <w:rsid w:val="00340B2F"/>
    <w:rsid w:val="00340C9E"/>
    <w:rsid w:val="003417FA"/>
    <w:rsid w:val="003440DD"/>
    <w:rsid w:val="00354DC5"/>
    <w:rsid w:val="00355E4D"/>
    <w:rsid w:val="00357C03"/>
    <w:rsid w:val="00365AA1"/>
    <w:rsid w:val="00366BF0"/>
    <w:rsid w:val="00384ABD"/>
    <w:rsid w:val="00396543"/>
    <w:rsid w:val="00396EF7"/>
    <w:rsid w:val="003A3994"/>
    <w:rsid w:val="003B7B53"/>
    <w:rsid w:val="003C157F"/>
    <w:rsid w:val="003F1C87"/>
    <w:rsid w:val="003F477F"/>
    <w:rsid w:val="00404A7A"/>
    <w:rsid w:val="00410D68"/>
    <w:rsid w:val="00423C3D"/>
    <w:rsid w:val="00432EA9"/>
    <w:rsid w:val="00435285"/>
    <w:rsid w:val="004362C1"/>
    <w:rsid w:val="004400FA"/>
    <w:rsid w:val="004422D1"/>
    <w:rsid w:val="00453F8B"/>
    <w:rsid w:val="0046015C"/>
    <w:rsid w:val="00467C4D"/>
    <w:rsid w:val="00470391"/>
    <w:rsid w:val="00473CA0"/>
    <w:rsid w:val="004948FF"/>
    <w:rsid w:val="00496AD3"/>
    <w:rsid w:val="004B5AF6"/>
    <w:rsid w:val="004C2C9A"/>
    <w:rsid w:val="004C3B2D"/>
    <w:rsid w:val="004C6CA8"/>
    <w:rsid w:val="004E5210"/>
    <w:rsid w:val="00561D82"/>
    <w:rsid w:val="0057219F"/>
    <w:rsid w:val="0058269F"/>
    <w:rsid w:val="0059057D"/>
    <w:rsid w:val="0059344B"/>
    <w:rsid w:val="005A1E89"/>
    <w:rsid w:val="005B5CB0"/>
    <w:rsid w:val="005C1100"/>
    <w:rsid w:val="005D74AA"/>
    <w:rsid w:val="005E3356"/>
    <w:rsid w:val="005F7149"/>
    <w:rsid w:val="0060008E"/>
    <w:rsid w:val="00604A80"/>
    <w:rsid w:val="00607F6A"/>
    <w:rsid w:val="006107DE"/>
    <w:rsid w:val="00633239"/>
    <w:rsid w:val="00633986"/>
    <w:rsid w:val="0063700D"/>
    <w:rsid w:val="00654641"/>
    <w:rsid w:val="00666A46"/>
    <w:rsid w:val="00675DA5"/>
    <w:rsid w:val="00683BFB"/>
    <w:rsid w:val="006A0CCD"/>
    <w:rsid w:val="006A18EB"/>
    <w:rsid w:val="006B0832"/>
    <w:rsid w:val="006C01F1"/>
    <w:rsid w:val="006C6F52"/>
    <w:rsid w:val="006E2FFF"/>
    <w:rsid w:val="006E31E5"/>
    <w:rsid w:val="006F43EB"/>
    <w:rsid w:val="00710861"/>
    <w:rsid w:val="00721827"/>
    <w:rsid w:val="007334AA"/>
    <w:rsid w:val="0073759D"/>
    <w:rsid w:val="007420AA"/>
    <w:rsid w:val="00750FA7"/>
    <w:rsid w:val="007527CF"/>
    <w:rsid w:val="00765C9A"/>
    <w:rsid w:val="00765D35"/>
    <w:rsid w:val="00771F61"/>
    <w:rsid w:val="00784BF9"/>
    <w:rsid w:val="007A4F4F"/>
    <w:rsid w:val="007B6DDE"/>
    <w:rsid w:val="007C388A"/>
    <w:rsid w:val="007C545F"/>
    <w:rsid w:val="007C721A"/>
    <w:rsid w:val="007D4D03"/>
    <w:rsid w:val="007E149C"/>
    <w:rsid w:val="007F430D"/>
    <w:rsid w:val="008101CB"/>
    <w:rsid w:val="00814EB5"/>
    <w:rsid w:val="0082027D"/>
    <w:rsid w:val="00825AFE"/>
    <w:rsid w:val="0084319D"/>
    <w:rsid w:val="00852F87"/>
    <w:rsid w:val="008530BF"/>
    <w:rsid w:val="00853A09"/>
    <w:rsid w:val="008605AA"/>
    <w:rsid w:val="0087595B"/>
    <w:rsid w:val="00883184"/>
    <w:rsid w:val="008921C8"/>
    <w:rsid w:val="00894FD8"/>
    <w:rsid w:val="008A6883"/>
    <w:rsid w:val="008D1E55"/>
    <w:rsid w:val="008E1EF0"/>
    <w:rsid w:val="008F6692"/>
    <w:rsid w:val="00901D4D"/>
    <w:rsid w:val="00914A0A"/>
    <w:rsid w:val="00954649"/>
    <w:rsid w:val="00955A97"/>
    <w:rsid w:val="00956AD9"/>
    <w:rsid w:val="00973FB4"/>
    <w:rsid w:val="00982735"/>
    <w:rsid w:val="009973DB"/>
    <w:rsid w:val="009A558D"/>
    <w:rsid w:val="009B15E6"/>
    <w:rsid w:val="009B6817"/>
    <w:rsid w:val="009D6715"/>
    <w:rsid w:val="009D77BE"/>
    <w:rsid w:val="009E3BF2"/>
    <w:rsid w:val="009E4F67"/>
    <w:rsid w:val="009F48EE"/>
    <w:rsid w:val="00A004A4"/>
    <w:rsid w:val="00A0433F"/>
    <w:rsid w:val="00A070BC"/>
    <w:rsid w:val="00A314E2"/>
    <w:rsid w:val="00A41B1A"/>
    <w:rsid w:val="00A43185"/>
    <w:rsid w:val="00A5169F"/>
    <w:rsid w:val="00A567E8"/>
    <w:rsid w:val="00A56871"/>
    <w:rsid w:val="00A60A58"/>
    <w:rsid w:val="00A8027B"/>
    <w:rsid w:val="00A86DF4"/>
    <w:rsid w:val="00AA1D8D"/>
    <w:rsid w:val="00AA5A5F"/>
    <w:rsid w:val="00AB3A68"/>
    <w:rsid w:val="00AC454A"/>
    <w:rsid w:val="00AD787C"/>
    <w:rsid w:val="00AE4D3A"/>
    <w:rsid w:val="00AE7094"/>
    <w:rsid w:val="00AF0817"/>
    <w:rsid w:val="00B057A3"/>
    <w:rsid w:val="00B062BE"/>
    <w:rsid w:val="00B11FF7"/>
    <w:rsid w:val="00B12ADA"/>
    <w:rsid w:val="00B166E0"/>
    <w:rsid w:val="00B21471"/>
    <w:rsid w:val="00B24EB8"/>
    <w:rsid w:val="00B42D3C"/>
    <w:rsid w:val="00B43A5E"/>
    <w:rsid w:val="00B43C3E"/>
    <w:rsid w:val="00B45F05"/>
    <w:rsid w:val="00B47730"/>
    <w:rsid w:val="00B50E44"/>
    <w:rsid w:val="00B53133"/>
    <w:rsid w:val="00B55109"/>
    <w:rsid w:val="00B748F2"/>
    <w:rsid w:val="00B7702A"/>
    <w:rsid w:val="00BA33B6"/>
    <w:rsid w:val="00BB26D1"/>
    <w:rsid w:val="00BB2EDF"/>
    <w:rsid w:val="00BB3D28"/>
    <w:rsid w:val="00BD0ED4"/>
    <w:rsid w:val="00BD2D3D"/>
    <w:rsid w:val="00BE09EF"/>
    <w:rsid w:val="00BF1091"/>
    <w:rsid w:val="00BF5191"/>
    <w:rsid w:val="00BF7B4E"/>
    <w:rsid w:val="00C06936"/>
    <w:rsid w:val="00C077DB"/>
    <w:rsid w:val="00C113B8"/>
    <w:rsid w:val="00C17E2B"/>
    <w:rsid w:val="00C31DAC"/>
    <w:rsid w:val="00C67E6B"/>
    <w:rsid w:val="00C714B3"/>
    <w:rsid w:val="00C77863"/>
    <w:rsid w:val="00C8305D"/>
    <w:rsid w:val="00CA15B7"/>
    <w:rsid w:val="00CA5D44"/>
    <w:rsid w:val="00CB0664"/>
    <w:rsid w:val="00CB0F9A"/>
    <w:rsid w:val="00CB385C"/>
    <w:rsid w:val="00CC0E55"/>
    <w:rsid w:val="00CC3FDA"/>
    <w:rsid w:val="00CD5FE6"/>
    <w:rsid w:val="00CE1229"/>
    <w:rsid w:val="00CE3D45"/>
    <w:rsid w:val="00CF287D"/>
    <w:rsid w:val="00D05D7A"/>
    <w:rsid w:val="00D06938"/>
    <w:rsid w:val="00D25765"/>
    <w:rsid w:val="00D2608D"/>
    <w:rsid w:val="00D47D75"/>
    <w:rsid w:val="00D54067"/>
    <w:rsid w:val="00D63969"/>
    <w:rsid w:val="00D652D8"/>
    <w:rsid w:val="00D853C7"/>
    <w:rsid w:val="00D96ED3"/>
    <w:rsid w:val="00DC6835"/>
    <w:rsid w:val="00DF2884"/>
    <w:rsid w:val="00DF672D"/>
    <w:rsid w:val="00E15D3E"/>
    <w:rsid w:val="00E17CFB"/>
    <w:rsid w:val="00E2154C"/>
    <w:rsid w:val="00E222C1"/>
    <w:rsid w:val="00E26BC7"/>
    <w:rsid w:val="00E55C21"/>
    <w:rsid w:val="00E7593E"/>
    <w:rsid w:val="00E7613E"/>
    <w:rsid w:val="00E833EF"/>
    <w:rsid w:val="00E90393"/>
    <w:rsid w:val="00EC1C0C"/>
    <w:rsid w:val="00EC3901"/>
    <w:rsid w:val="00EC5F9D"/>
    <w:rsid w:val="00ED31D0"/>
    <w:rsid w:val="00EE3D43"/>
    <w:rsid w:val="00EE5446"/>
    <w:rsid w:val="00EF3E74"/>
    <w:rsid w:val="00EF5C54"/>
    <w:rsid w:val="00EF5E48"/>
    <w:rsid w:val="00F25186"/>
    <w:rsid w:val="00F25DE9"/>
    <w:rsid w:val="00F405E1"/>
    <w:rsid w:val="00F41316"/>
    <w:rsid w:val="00F41A28"/>
    <w:rsid w:val="00F663AB"/>
    <w:rsid w:val="00F67813"/>
    <w:rsid w:val="00F82702"/>
    <w:rsid w:val="00F83C1C"/>
    <w:rsid w:val="00FB3DEC"/>
    <w:rsid w:val="00FC693F"/>
    <w:rsid w:val="00FC6F96"/>
    <w:rsid w:val="00FD2D12"/>
    <w:rsid w:val="00FE16C6"/>
    <w:rsid w:val="00FE7C21"/>
    <w:rsid w:val="00FF07B7"/>
    <w:rsid w:val="00FF406C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D3D7D"/>
  <w14:defaultImageDpi w14:val="300"/>
  <w15:docId w15:val="{7E3E3A75-3987-4DFA-A847-71125BC6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F52"/>
    <w:pPr>
      <w:spacing w:after="0" w:line="36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7F6A"/>
    <w:pPr>
      <w:keepNext/>
      <w:keepLines/>
      <w:numPr>
        <w:numId w:val="10"/>
      </w:numPr>
      <w:spacing w:before="240"/>
      <w:ind w:left="431" w:hanging="431"/>
      <w:outlineLvl w:val="0"/>
    </w:pPr>
    <w:rPr>
      <w:rFonts w:eastAsiaTheme="majorEastAsia" w:cstheme="majorBidi"/>
      <w:b/>
      <w:bCs/>
      <w:szCs w:val="28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3A09"/>
    <w:pPr>
      <w:keepNext/>
      <w:keepLines/>
      <w:numPr>
        <w:ilvl w:val="1"/>
        <w:numId w:val="10"/>
      </w:numPr>
      <w:spacing w:before="240"/>
      <w:ind w:left="578" w:hanging="578"/>
      <w:outlineLvl w:val="1"/>
    </w:pPr>
    <w:rPr>
      <w:rFonts w:eastAsiaTheme="majorEastAsia" w:cstheme="majorBidi"/>
      <w:b/>
      <w:iCs/>
      <w:color w:val="000000" w:themeColor="text1"/>
      <w:szCs w:val="26"/>
      <w:lang w:val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FC693F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FC693F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07F6A"/>
    <w:rPr>
      <w:rFonts w:ascii="Times New Roman" w:eastAsiaTheme="majorEastAsia" w:hAnsi="Times New Roman" w:cstheme="majorBidi"/>
      <w:b/>
      <w:bCs/>
      <w:sz w:val="24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53A09"/>
    <w:rPr>
      <w:rFonts w:ascii="Times New Roman" w:eastAsiaTheme="majorEastAsia" w:hAnsi="Times New Roman" w:cstheme="majorBidi"/>
      <w:b/>
      <w:iCs/>
      <w:color w:val="000000" w:themeColor="text1"/>
      <w:sz w:val="24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rsid w:val="006C6F52"/>
    <w:pPr>
      <w:contextualSpacing/>
    </w:pPr>
    <w:rPr>
      <w:rFonts w:eastAsiaTheme="majorEastAsia" w:cstheme="majorBidi"/>
      <w:b/>
      <w:color w:val="000000" w:themeColor="text1"/>
      <w:kern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C6F52"/>
    <w:rPr>
      <w:rFonts w:ascii="Times New Roman" w:eastAsiaTheme="majorEastAsia" w:hAnsi="Times New Roman" w:cstheme="majorBidi"/>
      <w:b/>
      <w:color w:val="000000" w:themeColor="text1"/>
      <w:kern w:val="28"/>
      <w:sz w:val="24"/>
      <w:szCs w:val="52"/>
    </w:rPr>
  </w:style>
  <w:style w:type="paragraph" w:styleId="Podtytu">
    <w:name w:val="Subtitle"/>
    <w:basedOn w:val="Normalny"/>
    <w:next w:val="Normalny"/>
    <w:link w:val="PodtytuZnak"/>
    <w:uiPriority w:val="11"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6C6F5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rsid w:val="00FC693F"/>
    <w:rPr>
      <w:b/>
      <w:bCs/>
    </w:rPr>
  </w:style>
  <w:style w:type="character" w:styleId="Uwydatnienie">
    <w:name w:val="Emphasis"/>
    <w:basedOn w:val="Domylnaczcionkaakapitu"/>
    <w:uiPriority w:val="20"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A5687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6871"/>
    <w:rPr>
      <w:color w:val="605E5C"/>
      <w:shd w:val="clear" w:color="auto" w:fill="E1DFDD"/>
    </w:rPr>
  </w:style>
  <w:style w:type="paragraph" w:customStyle="1" w:styleId="Tytutabeli">
    <w:name w:val="Tytuł tabeli"/>
    <w:basedOn w:val="Normalny"/>
    <w:link w:val="TytutabeliZnak"/>
    <w:rsid w:val="006C6F52"/>
    <w:rPr>
      <w:b/>
      <w:lang w:val="pl-PL"/>
    </w:rPr>
  </w:style>
  <w:style w:type="character" w:customStyle="1" w:styleId="TytutabeliZnak">
    <w:name w:val="Tytuł tabeli Znak"/>
    <w:basedOn w:val="Domylnaczcionkaakapitu"/>
    <w:link w:val="Tytutabeli"/>
    <w:rsid w:val="006C6F52"/>
    <w:rPr>
      <w:rFonts w:ascii="Times New Roman" w:hAnsi="Times New Roman"/>
      <w:b/>
      <w:sz w:val="24"/>
      <w:lang w:val="pl-PL"/>
    </w:rPr>
  </w:style>
  <w:style w:type="paragraph" w:customStyle="1" w:styleId="Podpisitytu">
    <w:name w:val="Podpis i tytuł"/>
    <w:basedOn w:val="Tytutabeli"/>
    <w:link w:val="PodpisitytuZnak"/>
    <w:qFormat/>
    <w:rsid w:val="006C6F52"/>
  </w:style>
  <w:style w:type="character" w:customStyle="1" w:styleId="PodpisitytuZnak">
    <w:name w:val="Podpis i tytuł Znak"/>
    <w:basedOn w:val="TytutabeliZnak"/>
    <w:link w:val="Podpisitytu"/>
    <w:rsid w:val="006C6F52"/>
    <w:rPr>
      <w:rFonts w:ascii="Times New Roman" w:hAnsi="Times New Roman"/>
      <w:b/>
      <w:sz w:val="24"/>
      <w:lang w:val="pl-PL"/>
    </w:rPr>
  </w:style>
  <w:style w:type="character" w:styleId="Tekstzastpczy">
    <w:name w:val="Placeholder Text"/>
    <w:basedOn w:val="Domylnaczcionkaakapitu"/>
    <w:uiPriority w:val="99"/>
    <w:semiHidden/>
    <w:rsid w:val="006107DE"/>
    <w:rPr>
      <w:color w:val="66666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4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74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74AA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4AA"/>
    <w:rPr>
      <w:rFonts w:ascii="Times New Roman" w:hAnsi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D74AA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xxxx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1076</Words>
  <Characters>6459</Characters>
  <DocSecurity>0</DocSecurity>
  <Lines>53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2026-02-04T18:34:00Z</dcterms:created>
  <dcterms:modified xsi:type="dcterms:W3CDTF">2026-02-11T21:03:00Z</dcterms:modified>
  <cp:category/>
</cp:coreProperties>
</file>